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Heading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Heading2"/>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 xml:space="preserve">Which of the following options is </w:t>
      </w:r>
      <w:proofErr w:type="gramStart"/>
      <w:r w:rsidRPr="00701AD5">
        <w:rPr>
          <w:b/>
          <w:bCs/>
          <w:lang w:val="en-GB"/>
        </w:rPr>
        <w:t>preferable:</w:t>
      </w:r>
      <w:proofErr w:type="gramEnd"/>
    </w:p>
    <w:p w14:paraId="2426C6A4" w14:textId="20D916BF" w:rsidR="00D04EC5" w:rsidRPr="00701AD5" w:rsidRDefault="00D04EC5" w:rsidP="00B850CE">
      <w:pPr>
        <w:pStyle w:val="ListParagraph"/>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ListParagraph"/>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TableGrid"/>
        <w:tblW w:w="9634" w:type="dxa"/>
        <w:tblLook w:val="04A0" w:firstRow="1" w:lastRow="0" w:firstColumn="1" w:lastColumn="0" w:noHBand="0" w:noVBand="1"/>
      </w:tblPr>
      <w:tblGrid>
        <w:gridCol w:w="1283"/>
        <w:gridCol w:w="8351"/>
      </w:tblGrid>
      <w:tr w:rsidR="00D04EC5" w14:paraId="62BFC4CB" w14:textId="77777777" w:rsidTr="00F3404C">
        <w:tc>
          <w:tcPr>
            <w:tcW w:w="1283"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F3404C">
        <w:tc>
          <w:tcPr>
            <w:tcW w:w="1283" w:type="dxa"/>
          </w:tcPr>
          <w:p w14:paraId="71ED7AA2" w14:textId="218F4D7B" w:rsidR="00D04EC5" w:rsidRDefault="0048672B" w:rsidP="00D04EC5">
            <w:pPr>
              <w:rPr>
                <w:lang w:val="en-GB"/>
              </w:rPr>
            </w:pPr>
            <w:r>
              <w:rPr>
                <w:lang w:val="en-GB"/>
              </w:rPr>
              <w:t>Ericsson</w:t>
            </w:r>
          </w:p>
        </w:tc>
        <w:tc>
          <w:tcPr>
            <w:tcW w:w="8351"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 xml:space="preserve">The </w:t>
            </w:r>
            <w:proofErr w:type="spellStart"/>
            <w:r>
              <w:rPr>
                <w:lang w:val="en-GB"/>
              </w:rPr>
              <w:t>gNB</w:t>
            </w:r>
            <w:proofErr w:type="spellEnd"/>
            <w:r>
              <w:rPr>
                <w:lang w:val="en-GB"/>
              </w:rPr>
              <w:t xml:space="preserve"> can provide multiple DGs to have one PUCCH report per SL transmission.</w:t>
            </w:r>
          </w:p>
        </w:tc>
      </w:tr>
      <w:tr w:rsidR="00D04EC5" w14:paraId="6B0B558F" w14:textId="77777777" w:rsidTr="00F3404C">
        <w:tc>
          <w:tcPr>
            <w:tcW w:w="1283" w:type="dxa"/>
          </w:tcPr>
          <w:p w14:paraId="039C2E5F" w14:textId="59E46A27" w:rsidR="00D04EC5" w:rsidRDefault="00DD73D3" w:rsidP="00D04EC5">
            <w:pPr>
              <w:rPr>
                <w:lang w:val="en-GB"/>
              </w:rPr>
            </w:pPr>
            <w:r>
              <w:rPr>
                <w:lang w:val="en-GB"/>
              </w:rPr>
              <w:t>Intel</w:t>
            </w:r>
          </w:p>
        </w:tc>
        <w:tc>
          <w:tcPr>
            <w:tcW w:w="8351"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proofErr w:type="spellStart"/>
            <w:r>
              <w:t>gNB</w:t>
            </w:r>
            <w:proofErr w:type="spellEnd"/>
            <w:r>
              <w:t xml:space="preserve"> can simply schedule one resource and wait for the feedback to allocate more resources.</w:t>
            </w:r>
          </w:p>
        </w:tc>
      </w:tr>
      <w:tr w:rsidR="00D04EC5" w14:paraId="37383CCD" w14:textId="77777777" w:rsidTr="00F3404C">
        <w:tc>
          <w:tcPr>
            <w:tcW w:w="1283" w:type="dxa"/>
          </w:tcPr>
          <w:p w14:paraId="2CDE4A0F" w14:textId="35F2E6DB" w:rsidR="00D04EC5" w:rsidRDefault="00393618" w:rsidP="00D04EC5">
            <w:pPr>
              <w:rPr>
                <w:lang w:val="en-GB"/>
              </w:rPr>
            </w:pPr>
            <w:r>
              <w:rPr>
                <w:lang w:val="en-GB"/>
              </w:rPr>
              <w:t>NTT DOCOMO</w:t>
            </w:r>
          </w:p>
        </w:tc>
        <w:tc>
          <w:tcPr>
            <w:tcW w:w="8351"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 xml:space="preserve">Regarding option 2, even if PUCCH resource is provided per PSCCH/PSSCH resource, and NACK is received at the first PUCCH resource, what should </w:t>
            </w:r>
            <w:proofErr w:type="spellStart"/>
            <w:r>
              <w:rPr>
                <w:rFonts w:eastAsia="Yu Mincho"/>
                <w:lang w:val="en-GB"/>
              </w:rPr>
              <w:t>gNB</w:t>
            </w:r>
            <w:proofErr w:type="spellEnd"/>
            <w:r>
              <w:rPr>
                <w:rFonts w:eastAsia="Yu Mincho"/>
                <w:lang w:val="en-GB"/>
              </w:rPr>
              <w:t xml:space="preserve"> do? </w:t>
            </w:r>
            <w:r>
              <w:rPr>
                <w:rFonts w:eastAsia="Yu Mincho"/>
                <w:lang w:val="en-GB"/>
              </w:rPr>
              <w:lastRenderedPageBreak/>
              <w:t xml:space="preserve">The UE still has further PSCCH/PSSCH resource to transmit the TB, then </w:t>
            </w:r>
            <w:proofErr w:type="spellStart"/>
            <w:r>
              <w:rPr>
                <w:rFonts w:eastAsia="Yu Mincho"/>
                <w:lang w:val="en-GB"/>
              </w:rPr>
              <w:t>gNB</w:t>
            </w:r>
            <w:proofErr w:type="spellEnd"/>
            <w:r>
              <w:rPr>
                <w:rFonts w:eastAsia="Yu Mincho"/>
                <w:lang w:val="en-GB"/>
              </w:rPr>
              <w:t xml:space="preserve"> does not need to provide new grant. That is, the NACK feedback is no gain.</w:t>
            </w:r>
          </w:p>
        </w:tc>
      </w:tr>
      <w:tr w:rsidR="008036E3" w14:paraId="2844F1D8" w14:textId="77777777" w:rsidTr="00F3404C">
        <w:tc>
          <w:tcPr>
            <w:tcW w:w="1283" w:type="dxa"/>
          </w:tcPr>
          <w:p w14:paraId="03815B78" w14:textId="2AB9195B" w:rsidR="008036E3" w:rsidRDefault="008036E3" w:rsidP="008036E3">
            <w:pPr>
              <w:rPr>
                <w:lang w:val="en-GB"/>
              </w:rPr>
            </w:pPr>
            <w:r>
              <w:rPr>
                <w:rFonts w:eastAsia="DengXian" w:hint="eastAsia"/>
                <w:lang w:val="en-GB"/>
              </w:rPr>
              <w:lastRenderedPageBreak/>
              <w:t>O</w:t>
            </w:r>
            <w:r>
              <w:rPr>
                <w:rFonts w:eastAsia="DengXian"/>
                <w:lang w:val="en-GB"/>
              </w:rPr>
              <w:t>PPO</w:t>
            </w:r>
          </w:p>
        </w:tc>
        <w:tc>
          <w:tcPr>
            <w:tcW w:w="8351" w:type="dxa"/>
          </w:tcPr>
          <w:p w14:paraId="149EB9A7" w14:textId="1A0E8BE8" w:rsidR="008036E3" w:rsidRDefault="008036E3" w:rsidP="008036E3">
            <w:pPr>
              <w:rPr>
                <w:lang w:val="en-GB"/>
              </w:rPr>
            </w:pPr>
            <w:r>
              <w:rPr>
                <w:rFonts w:eastAsia="DengXian" w:hint="eastAsia"/>
                <w:lang w:val="en-GB"/>
              </w:rPr>
              <w:t>O</w:t>
            </w:r>
            <w:r>
              <w:rPr>
                <w:rFonts w:eastAsia="DengXian"/>
                <w:lang w:val="en-GB"/>
              </w:rPr>
              <w:t xml:space="preserve">ption 2. UE can report ACK/NACK to </w:t>
            </w:r>
            <w:proofErr w:type="spellStart"/>
            <w:r>
              <w:rPr>
                <w:rFonts w:eastAsia="DengXian"/>
                <w:lang w:val="en-GB"/>
              </w:rPr>
              <w:t>gNB</w:t>
            </w:r>
            <w:proofErr w:type="spellEnd"/>
            <w:r>
              <w:rPr>
                <w:rFonts w:eastAsia="DengXian"/>
                <w:lang w:val="en-GB"/>
              </w:rPr>
              <w:t xml:space="preserve"> after per SL transmission. If ACK is received, </w:t>
            </w:r>
            <w:proofErr w:type="spellStart"/>
            <w:r>
              <w:rPr>
                <w:rFonts w:eastAsia="DengXian"/>
                <w:lang w:val="en-GB"/>
              </w:rPr>
              <w:t>gNB</w:t>
            </w:r>
            <w:proofErr w:type="spellEnd"/>
            <w:r>
              <w:rPr>
                <w:rFonts w:eastAsia="DengXian"/>
                <w:lang w:val="en-GB"/>
              </w:rPr>
              <w:t xml:space="preserve"> can have the flexibility to release or re-schedule the allocated resource for other purpose, resource efficiency can be improved. </w:t>
            </w:r>
          </w:p>
        </w:tc>
      </w:tr>
      <w:tr w:rsidR="00C748BA" w14:paraId="664A1226" w14:textId="77777777" w:rsidTr="00F3404C">
        <w:tc>
          <w:tcPr>
            <w:tcW w:w="1283" w:type="dxa"/>
          </w:tcPr>
          <w:p w14:paraId="5F02E4A5" w14:textId="6EB5C6EE"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4E9D8A34"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0D0A7C2A" w14:textId="0CCBBC8B" w:rsidR="00C748BA" w:rsidRDefault="00C748BA" w:rsidP="00C748BA">
            <w:pPr>
              <w:rPr>
                <w:rFonts w:eastAsia="DengXian"/>
                <w:lang w:val="en-GB"/>
              </w:rPr>
            </w:pPr>
            <w:r>
              <w:rPr>
                <w:rFonts w:eastAsia="DengXian" w:hint="eastAsia"/>
                <w:lang w:val="en-GB"/>
              </w:rPr>
              <w:t>I</w:t>
            </w:r>
            <w:r>
              <w:rPr>
                <w:rFonts w:eastAsia="DengXian"/>
                <w:lang w:val="en-GB"/>
              </w:rPr>
              <w:t xml:space="preserve">t can depend on </w:t>
            </w:r>
            <w:proofErr w:type="spellStart"/>
            <w:r>
              <w:rPr>
                <w:rFonts w:eastAsia="DengXian"/>
                <w:lang w:val="en-GB"/>
              </w:rPr>
              <w:t>gNB</w:t>
            </w:r>
            <w:proofErr w:type="spellEnd"/>
            <w:r>
              <w:rPr>
                <w:rFonts w:eastAsia="DengXian"/>
                <w:lang w:val="en-GB"/>
              </w:rPr>
              <w:t xml:space="preserve">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2F943FC" w14:textId="77777777" w:rsidTr="00F3404C">
        <w:tc>
          <w:tcPr>
            <w:tcW w:w="1283" w:type="dxa"/>
          </w:tcPr>
          <w:p w14:paraId="68634575" w14:textId="3AC4D167" w:rsidR="00F3404C" w:rsidRDefault="00F3404C" w:rsidP="00F3404C">
            <w:pPr>
              <w:rPr>
                <w:rFonts w:eastAsia="DengXian" w:hint="eastAsia"/>
                <w:lang w:val="en-GB"/>
              </w:rPr>
            </w:pPr>
            <w:r>
              <w:rPr>
                <w:lang w:val="en-GB" w:eastAsia="ja-JP"/>
              </w:rPr>
              <w:t>Apple</w:t>
            </w:r>
          </w:p>
        </w:tc>
        <w:tc>
          <w:tcPr>
            <w:tcW w:w="8351" w:type="dxa"/>
          </w:tcPr>
          <w:p w14:paraId="0539DF7E" w14:textId="5D13A626" w:rsidR="00F3404C" w:rsidRPr="00F3404C" w:rsidRDefault="00F3404C" w:rsidP="00F3404C">
            <w:pPr>
              <w:rPr>
                <w:lang w:val="en-GB" w:eastAsia="ja-JP"/>
              </w:rPr>
            </w:pPr>
            <w:r>
              <w:rPr>
                <w:lang w:val="en-GB" w:eastAsia="ja-JP"/>
              </w:rPr>
              <w:t xml:space="preserve">Option 1. </w:t>
            </w:r>
          </w:p>
          <w:p w14:paraId="436C760A" w14:textId="183FA7C3" w:rsidR="00F3404C" w:rsidRDefault="00F3404C" w:rsidP="00F3404C">
            <w:pPr>
              <w:rPr>
                <w:rFonts w:eastAsia="DengXian" w:hint="eastAsia"/>
                <w:lang w:val="en-GB"/>
              </w:rPr>
            </w:pPr>
            <w:r w:rsidRPr="00F61D97">
              <w:rPr>
                <w:iCs/>
              </w:rPr>
              <w:t xml:space="preserve">If sidelink HARQ-NACK is received for the initial PSSCH transmission, the report of sidelink HARQ-NACK to </w:t>
            </w:r>
            <w:proofErr w:type="spellStart"/>
            <w:r w:rsidRPr="00F61D97">
              <w:rPr>
                <w:iCs/>
              </w:rPr>
              <w:t>gNB</w:t>
            </w:r>
            <w:proofErr w:type="spellEnd"/>
            <w:r w:rsidRPr="00F61D97">
              <w:rPr>
                <w:iCs/>
              </w:rPr>
              <w:t xml:space="preserve"> does not necessarily trigger a new sidelink grant since the remaining PSSCH resources scheduled in the initial DCI can still be used for the sidelink retransmissions.</w:t>
            </w:r>
          </w:p>
        </w:tc>
      </w:tr>
    </w:tbl>
    <w:p w14:paraId="434A6A43" w14:textId="75E40FF6" w:rsidR="00D04EC5" w:rsidRDefault="00D04EC5" w:rsidP="00D04EC5">
      <w:pPr>
        <w:rPr>
          <w:lang w:val="en-GB"/>
        </w:rPr>
      </w:pPr>
    </w:p>
    <w:p w14:paraId="3B238F53" w14:textId="71466A71"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 xml:space="preserve">Which of the following options is </w:t>
      </w:r>
      <w:proofErr w:type="gramStart"/>
      <w:r w:rsidRPr="00701AD5">
        <w:rPr>
          <w:b/>
          <w:bCs/>
          <w:lang w:val="en-GB"/>
        </w:rPr>
        <w:t>preferable:</w:t>
      </w:r>
      <w:proofErr w:type="gramEnd"/>
    </w:p>
    <w:p w14:paraId="2683FE17" w14:textId="64368517" w:rsidR="002704B5" w:rsidRPr="00701AD5" w:rsidRDefault="002704B5" w:rsidP="00B850CE">
      <w:pPr>
        <w:pStyle w:val="ListParagraph"/>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ListParagraph"/>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TableGrid"/>
        <w:tblW w:w="9634" w:type="dxa"/>
        <w:tblLook w:val="04A0" w:firstRow="1" w:lastRow="0" w:firstColumn="1" w:lastColumn="0" w:noHBand="0" w:noVBand="1"/>
      </w:tblPr>
      <w:tblGrid>
        <w:gridCol w:w="1217"/>
        <w:gridCol w:w="8417"/>
      </w:tblGrid>
      <w:tr w:rsidR="005A3B37" w14:paraId="660354A9" w14:textId="77777777" w:rsidTr="00F3404C">
        <w:tc>
          <w:tcPr>
            <w:tcW w:w="1217"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17"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F3404C">
        <w:tc>
          <w:tcPr>
            <w:tcW w:w="1217" w:type="dxa"/>
          </w:tcPr>
          <w:p w14:paraId="28D3CA56" w14:textId="2FE4C340" w:rsidR="005A3B37" w:rsidRDefault="0077388C" w:rsidP="00975003">
            <w:pPr>
              <w:rPr>
                <w:lang w:val="en-GB"/>
              </w:rPr>
            </w:pPr>
            <w:r>
              <w:rPr>
                <w:lang w:val="en-GB"/>
              </w:rPr>
              <w:t>Ericsson</w:t>
            </w:r>
          </w:p>
        </w:tc>
        <w:tc>
          <w:tcPr>
            <w:tcW w:w="8417"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F3404C">
        <w:tc>
          <w:tcPr>
            <w:tcW w:w="1217" w:type="dxa"/>
          </w:tcPr>
          <w:p w14:paraId="3A1785B3" w14:textId="03D0B389" w:rsidR="005A3B37" w:rsidRDefault="00DD73D3" w:rsidP="00975003">
            <w:pPr>
              <w:rPr>
                <w:lang w:val="en-GB"/>
              </w:rPr>
            </w:pPr>
            <w:r>
              <w:rPr>
                <w:lang w:val="en-GB"/>
              </w:rPr>
              <w:t>Intel</w:t>
            </w:r>
          </w:p>
        </w:tc>
        <w:tc>
          <w:tcPr>
            <w:tcW w:w="8417"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w:t>
            </w:r>
            <w:proofErr w:type="spellStart"/>
            <w:r>
              <w:rPr>
                <w:lang w:val="en-GB"/>
              </w:rPr>
              <w:t>ms</w:t>
            </w:r>
            <w:proofErr w:type="spellEnd"/>
            <w:r>
              <w:rPr>
                <w:lang w:val="en-GB"/>
              </w:rPr>
              <w:t xml:space="preserve">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F3404C">
        <w:tc>
          <w:tcPr>
            <w:tcW w:w="1217" w:type="dxa"/>
          </w:tcPr>
          <w:p w14:paraId="1CD38ADA" w14:textId="328EA043" w:rsidR="008036E3" w:rsidRDefault="008036E3" w:rsidP="008036E3">
            <w:pPr>
              <w:rPr>
                <w:lang w:val="en-GB"/>
              </w:rPr>
            </w:pPr>
            <w:r>
              <w:rPr>
                <w:rFonts w:eastAsia="DengXian" w:hint="eastAsia"/>
                <w:lang w:val="en-GB"/>
              </w:rPr>
              <w:t>O</w:t>
            </w:r>
            <w:r>
              <w:rPr>
                <w:rFonts w:eastAsia="DengXian"/>
                <w:lang w:val="en-GB"/>
              </w:rPr>
              <w:t>PPO</w:t>
            </w:r>
          </w:p>
        </w:tc>
        <w:tc>
          <w:tcPr>
            <w:tcW w:w="8417" w:type="dxa"/>
          </w:tcPr>
          <w:p w14:paraId="24A6FB44"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350219C6"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ins w:id="1" w:author="Author">
              <w:r w:rsidRPr="00B52968">
                <w:rPr>
                  <w:rFonts w:ascii="Courier New" w:eastAsia="Times New Roman" w:hAnsi="Courier New"/>
                  <w:noProof/>
                  <w:sz w:val="16"/>
                  <w:lang w:eastAsia="en-GB"/>
                </w:rPr>
                <w:t>sl-TimeResourceCG-Type1</w:t>
              </w:r>
            </w:ins>
            <w:r w:rsidRPr="00B52968">
              <w:rPr>
                <w:rFonts w:eastAsia="DengXian"/>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DengXian"/>
                <w:lang w:val="en-GB"/>
              </w:rPr>
              <w:t xml:space="preserve">” in DCI, where it is based on logical slots within the resource pool. </w:t>
            </w:r>
          </w:p>
          <w:p w14:paraId="2CA39201"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C748BA" w14:paraId="676001F5" w14:textId="77777777" w:rsidTr="00F3404C">
        <w:tc>
          <w:tcPr>
            <w:tcW w:w="1217" w:type="dxa"/>
          </w:tcPr>
          <w:p w14:paraId="21EC1263" w14:textId="2DABB2B3" w:rsidR="00C748BA" w:rsidRDefault="00C748BA" w:rsidP="00C748BA">
            <w:pPr>
              <w:rPr>
                <w:lang w:val="en-GB"/>
              </w:rPr>
            </w:pPr>
            <w:r>
              <w:rPr>
                <w:rFonts w:eastAsia="DengXian" w:hint="eastAsia"/>
                <w:lang w:val="en-GB"/>
              </w:rPr>
              <w:t>C</w:t>
            </w:r>
            <w:r>
              <w:rPr>
                <w:rFonts w:eastAsia="DengXian"/>
                <w:lang w:val="en-GB"/>
              </w:rPr>
              <w:t>MCC</w:t>
            </w:r>
          </w:p>
        </w:tc>
        <w:tc>
          <w:tcPr>
            <w:tcW w:w="8417" w:type="dxa"/>
          </w:tcPr>
          <w:p w14:paraId="2EF34FE6"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788A2951" w14:textId="474D0059" w:rsidR="00C748BA" w:rsidRDefault="00C748BA" w:rsidP="00C748BA">
            <w:pPr>
              <w:rPr>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04C2755D" w14:textId="77777777" w:rsidTr="00F3404C">
        <w:tc>
          <w:tcPr>
            <w:tcW w:w="1217" w:type="dxa"/>
          </w:tcPr>
          <w:p w14:paraId="37DD54D3" w14:textId="58F07C78" w:rsidR="00F3404C" w:rsidRDefault="00F3404C" w:rsidP="00F3404C">
            <w:pPr>
              <w:rPr>
                <w:rFonts w:eastAsia="DengXian" w:hint="eastAsia"/>
                <w:lang w:val="en-GB"/>
              </w:rPr>
            </w:pPr>
            <w:r>
              <w:rPr>
                <w:lang w:val="en-GB" w:eastAsia="ja-JP"/>
              </w:rPr>
              <w:t>Apple</w:t>
            </w:r>
          </w:p>
        </w:tc>
        <w:tc>
          <w:tcPr>
            <w:tcW w:w="8417" w:type="dxa"/>
          </w:tcPr>
          <w:p w14:paraId="410C0256" w14:textId="1CE3DFA3" w:rsidR="00F3404C" w:rsidRPr="009112B9" w:rsidRDefault="00F3404C" w:rsidP="00F3404C">
            <w:pPr>
              <w:rPr>
                <w:lang w:val="en-GB"/>
              </w:rPr>
            </w:pPr>
            <w:r>
              <w:rPr>
                <w:lang w:val="en-GB" w:eastAsia="ja-JP"/>
              </w:rPr>
              <w:t xml:space="preserve">Option 1. Not all physical slots are available for sidelink transmissions. </w:t>
            </w:r>
          </w:p>
        </w:tc>
      </w:tr>
    </w:tbl>
    <w:p w14:paraId="49453FA3" w14:textId="01A5D702" w:rsidR="002704B5" w:rsidRDefault="002704B5" w:rsidP="00D04EC5">
      <w:pPr>
        <w:rPr>
          <w:lang w:val="en-GB"/>
        </w:rPr>
      </w:pPr>
    </w:p>
    <w:p w14:paraId="3A7C1125" w14:textId="692FAA85"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ListParagraph"/>
        <w:numPr>
          <w:ilvl w:val="0"/>
          <w:numId w:val="43"/>
        </w:numPr>
        <w:rPr>
          <w:b/>
          <w:bCs/>
          <w:lang w:val="en-GB"/>
        </w:rPr>
      </w:pPr>
      <w:r>
        <w:rPr>
          <w:b/>
          <w:bCs/>
          <w:lang w:val="en-GB"/>
        </w:rPr>
        <w:t>Which frame indexing should be used?</w:t>
      </w:r>
    </w:p>
    <w:p w14:paraId="21C52D8D" w14:textId="0D923CD5" w:rsidR="007D6EFB" w:rsidRDefault="007D6EFB" w:rsidP="00D4490A">
      <w:pPr>
        <w:pStyle w:val="ListParagraph"/>
        <w:numPr>
          <w:ilvl w:val="0"/>
          <w:numId w:val="43"/>
        </w:numPr>
        <w:rPr>
          <w:b/>
          <w:bCs/>
          <w:lang w:val="en-GB"/>
        </w:rPr>
      </w:pPr>
      <w:r>
        <w:rPr>
          <w:b/>
          <w:bCs/>
          <w:lang w:val="en-GB"/>
        </w:rPr>
        <w:lastRenderedPageBreak/>
        <w:t xml:space="preserve">How does it work for the asynchronous case if the </w:t>
      </w:r>
      <w:proofErr w:type="spellStart"/>
      <w:r>
        <w:rPr>
          <w:b/>
          <w:bCs/>
          <w:lang w:val="en-GB"/>
        </w:rPr>
        <w:t>gNB</w:t>
      </w:r>
      <w:proofErr w:type="spellEnd"/>
      <w:r>
        <w:rPr>
          <w:b/>
          <w:bCs/>
          <w:lang w:val="en-GB"/>
        </w:rPr>
        <w:t xml:space="preserve"> is aware of the timing difference between </w:t>
      </w:r>
      <w:proofErr w:type="spellStart"/>
      <w:r>
        <w:rPr>
          <w:b/>
          <w:bCs/>
          <w:lang w:val="en-GB"/>
        </w:rPr>
        <w:t>Uu</w:t>
      </w:r>
      <w:proofErr w:type="spellEnd"/>
      <w:r>
        <w:rPr>
          <w:b/>
          <w:bCs/>
          <w:lang w:val="en-GB"/>
        </w:rPr>
        <w:t xml:space="preserve"> and SL?</w:t>
      </w:r>
    </w:p>
    <w:p w14:paraId="7D24D785" w14:textId="16D3D3BA" w:rsidR="007D6EFB" w:rsidRPr="007D6EFB" w:rsidRDefault="007D6EFB" w:rsidP="00D4490A">
      <w:pPr>
        <w:pStyle w:val="ListParagraph"/>
        <w:numPr>
          <w:ilvl w:val="0"/>
          <w:numId w:val="43"/>
        </w:numPr>
        <w:rPr>
          <w:b/>
          <w:bCs/>
          <w:lang w:val="en-GB"/>
        </w:rPr>
      </w:pPr>
      <w:r>
        <w:rPr>
          <w:b/>
          <w:bCs/>
          <w:lang w:val="en-GB"/>
        </w:rPr>
        <w:t xml:space="preserve">How does it work for the asynchronous case if the </w:t>
      </w:r>
      <w:proofErr w:type="spellStart"/>
      <w:r>
        <w:rPr>
          <w:b/>
          <w:bCs/>
          <w:lang w:val="en-GB"/>
        </w:rPr>
        <w:t>gNB</w:t>
      </w:r>
      <w:proofErr w:type="spellEnd"/>
      <w:r>
        <w:rPr>
          <w:b/>
          <w:bCs/>
          <w:lang w:val="en-GB"/>
        </w:rPr>
        <w:t xml:space="preserve"> is </w:t>
      </w:r>
      <w:r w:rsidRPr="00D4490A">
        <w:rPr>
          <w:b/>
          <w:bCs/>
          <w:u w:val="single"/>
          <w:lang w:val="en-GB"/>
        </w:rPr>
        <w:t>not</w:t>
      </w:r>
      <w:r>
        <w:rPr>
          <w:b/>
          <w:bCs/>
          <w:lang w:val="en-GB"/>
        </w:rPr>
        <w:t xml:space="preserve"> aware of the timing difference between </w:t>
      </w:r>
      <w:proofErr w:type="spellStart"/>
      <w:r>
        <w:rPr>
          <w:b/>
          <w:bCs/>
          <w:lang w:val="en-GB"/>
        </w:rPr>
        <w:t>Uu</w:t>
      </w:r>
      <w:proofErr w:type="spellEnd"/>
      <w:r>
        <w:rPr>
          <w:b/>
          <w:bCs/>
          <w:lang w:val="en-GB"/>
        </w:rPr>
        <w:t xml:space="preserve"> and SL?</w:t>
      </w:r>
    </w:p>
    <w:tbl>
      <w:tblPr>
        <w:tblStyle w:val="TableGrid"/>
        <w:tblW w:w="9634" w:type="dxa"/>
        <w:tblLook w:val="04A0" w:firstRow="1" w:lastRow="0" w:firstColumn="1" w:lastColumn="0" w:noHBand="0" w:noVBand="1"/>
      </w:tblPr>
      <w:tblGrid>
        <w:gridCol w:w="1217"/>
        <w:gridCol w:w="8417"/>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975003">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 xml:space="preserve">or the asynchronous case if the </w:t>
            </w:r>
            <w:proofErr w:type="spellStart"/>
            <w:r w:rsidRPr="0077388C">
              <w:rPr>
                <w:lang w:val="en-GB"/>
              </w:rPr>
              <w:t>gNB</w:t>
            </w:r>
            <w:proofErr w:type="spellEnd"/>
            <w:r w:rsidRPr="0077388C">
              <w:rPr>
                <w:lang w:val="en-GB"/>
              </w:rPr>
              <w:t xml:space="preserve"> is aware of the timing difference between </w:t>
            </w:r>
            <w:proofErr w:type="spellStart"/>
            <w:r w:rsidRPr="0077388C">
              <w:rPr>
                <w:lang w:val="en-GB"/>
              </w:rPr>
              <w:t>Uu</w:t>
            </w:r>
            <w:proofErr w:type="spellEnd"/>
            <w:r w:rsidRPr="0077388C">
              <w:rPr>
                <w:lang w:val="en-GB"/>
              </w:rPr>
              <w:t xml:space="preserve"> and SL</w:t>
            </w:r>
            <w:r>
              <w:rPr>
                <w:lang w:val="en-GB"/>
              </w:rPr>
              <w:t xml:space="preserve">, both SFN and virtual indexing work fine. The </w:t>
            </w:r>
            <w:proofErr w:type="spellStart"/>
            <w:r>
              <w:rPr>
                <w:lang w:val="en-GB"/>
              </w:rPr>
              <w:t>gNB</w:t>
            </w:r>
            <w:proofErr w:type="spellEnd"/>
            <w:r>
              <w:rPr>
                <w:lang w:val="en-GB"/>
              </w:rPr>
              <w:t xml:space="preserve">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 xml:space="preserve">the asynchronous case if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SFN does not work well. The </w:t>
            </w:r>
            <w:proofErr w:type="spellStart"/>
            <w:r>
              <w:rPr>
                <w:lang w:val="en-GB"/>
              </w:rPr>
              <w:t>gNB</w:t>
            </w:r>
            <w:proofErr w:type="spellEnd"/>
            <w:r>
              <w:rPr>
                <w:lang w:val="en-GB"/>
              </w:rPr>
              <w:t xml:space="preserve">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975003">
        <w:tc>
          <w:tcPr>
            <w:tcW w:w="1189" w:type="dxa"/>
          </w:tcPr>
          <w:p w14:paraId="467EEC78" w14:textId="3A23F51E" w:rsidR="008036E3" w:rsidRDefault="008036E3" w:rsidP="008036E3">
            <w:pPr>
              <w:rPr>
                <w:lang w:val="en-GB"/>
              </w:rPr>
            </w:pPr>
            <w:r>
              <w:rPr>
                <w:rFonts w:eastAsia="DengXian" w:hint="eastAsia"/>
                <w:lang w:val="en-GB"/>
              </w:rPr>
              <w:t>O</w:t>
            </w:r>
            <w:r>
              <w:rPr>
                <w:rFonts w:eastAsia="DengXian"/>
                <w:lang w:val="en-GB"/>
              </w:rPr>
              <w:t>PPO</w:t>
            </w:r>
          </w:p>
        </w:tc>
        <w:tc>
          <w:tcPr>
            <w:tcW w:w="8445" w:type="dxa"/>
          </w:tcPr>
          <w:p w14:paraId="107F5253"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7F85E622"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r w:rsidRPr="003E2C49">
              <w:rPr>
                <w:rFonts w:eastAsia="Malgun Gothic"/>
                <w:i/>
                <w:noProof/>
                <w:lang w:eastAsia="ko-KR"/>
              </w:rPr>
              <w:t>timeReferenceSFN</w:t>
            </w:r>
            <w:r>
              <w:rPr>
                <w:rFonts w:eastAsia="DengXian"/>
                <w:lang w:val="en-GB"/>
              </w:rPr>
              <w:t>’ is used to determine the UL CG resource, where</w:t>
            </w:r>
          </w:p>
          <w:p w14:paraId="4EDA9818" w14:textId="77777777" w:rsidR="008036E3" w:rsidRPr="001C58DB" w:rsidRDefault="008036E3" w:rsidP="008036E3">
            <w:pPr>
              <w:pStyle w:val="ListParagraph"/>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3309A05E" w14:textId="77777777" w:rsidR="008036E3" w:rsidRDefault="008036E3" w:rsidP="008036E3">
            <w:pPr>
              <w:pStyle w:val="ListParagraph"/>
              <w:ind w:left="420"/>
              <w:rPr>
                <w:rFonts w:eastAsia="DengXian"/>
                <w:sz w:val="20"/>
                <w:szCs w:val="20"/>
                <w:lang w:val="en-GB"/>
              </w:rPr>
            </w:pPr>
            <w:r>
              <w:rPr>
                <w:lang w:val="en-GB" w:eastAsia="ja-JP"/>
              </w:rPr>
              <w:t xml:space="preserve">For SL CG </w:t>
            </w:r>
            <w:proofErr w:type="gramStart"/>
            <w:r>
              <w:rPr>
                <w:lang w:val="en-GB" w:eastAsia="ja-JP"/>
              </w:rPr>
              <w:t>type-1</w:t>
            </w:r>
            <w:proofErr w:type="gramEnd"/>
            <w:r>
              <w:rPr>
                <w:lang w:val="en-GB" w:eastAsia="ja-JP"/>
              </w:rPr>
              <w:t>,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DengXian" w:hint="eastAsia"/>
                <w:sz w:val="20"/>
                <w:szCs w:val="20"/>
                <w:lang w:val="en-GB"/>
              </w:rPr>
              <w:t>.</w:t>
            </w:r>
            <w:r>
              <w:rPr>
                <w:rFonts w:eastAsia="DengXian"/>
                <w:sz w:val="20"/>
                <w:szCs w:val="20"/>
                <w:lang w:val="en-GB"/>
              </w:rPr>
              <w:t xml:space="preserve"> </w:t>
            </w:r>
          </w:p>
          <w:p w14:paraId="135A1336"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 xml:space="preserve">For question 2 and 3, we think </w:t>
            </w:r>
            <w:proofErr w:type="spellStart"/>
            <w:r>
              <w:rPr>
                <w:lang w:val="en-GB" w:eastAsia="ja-JP"/>
              </w:rPr>
              <w:t>gNB</w:t>
            </w:r>
            <w:proofErr w:type="spellEnd"/>
            <w:r>
              <w:rPr>
                <w:lang w:val="en-GB" w:eastAsia="ja-JP"/>
              </w:rPr>
              <w:t xml:space="preserve"> should be aware the timing difference between </w:t>
            </w:r>
            <w:proofErr w:type="spellStart"/>
            <w:r>
              <w:rPr>
                <w:lang w:val="en-GB" w:eastAsia="ja-JP"/>
              </w:rPr>
              <w:t>Uu</w:t>
            </w:r>
            <w:proofErr w:type="spellEnd"/>
            <w:r>
              <w:rPr>
                <w:lang w:val="en-GB" w:eastAsia="ja-JP"/>
              </w:rPr>
              <w:t xml:space="preserve"> and SL. Otherwise, it is hardly for </w:t>
            </w:r>
            <w:proofErr w:type="spellStart"/>
            <w:r>
              <w:rPr>
                <w:lang w:val="en-GB" w:eastAsia="ja-JP"/>
              </w:rPr>
              <w:t>gNB</w:t>
            </w:r>
            <w:proofErr w:type="spellEnd"/>
            <w:r>
              <w:rPr>
                <w:lang w:val="en-GB" w:eastAsia="ja-JP"/>
              </w:rPr>
              <w:t xml:space="preserve"> to determine the SL transmission timing. Furthermore, it cannot determine the timing of PUCCH, which is determined by the time resource of PSFCH.</w:t>
            </w:r>
          </w:p>
          <w:p w14:paraId="019FC906" w14:textId="77777777" w:rsidR="008036E3" w:rsidRDefault="008036E3" w:rsidP="008036E3">
            <w:pPr>
              <w:pStyle w:val="ListParagraph"/>
              <w:ind w:left="420"/>
              <w:rPr>
                <w:rFonts w:eastAsia="DengXian"/>
                <w:sz w:val="20"/>
                <w:szCs w:val="20"/>
                <w:lang w:val="en-GB"/>
              </w:rPr>
            </w:pPr>
            <w:r>
              <w:rPr>
                <w:rFonts w:eastAsia="DengXian"/>
                <w:sz w:val="20"/>
                <w:szCs w:val="20"/>
                <w:lang w:val="en-GB"/>
              </w:rPr>
              <w:t xml:space="preserve">In LTE-V2X, it is also assumed that </w:t>
            </w:r>
            <w:proofErr w:type="spellStart"/>
            <w:r>
              <w:rPr>
                <w:rFonts w:eastAsia="DengXian"/>
                <w:sz w:val="20"/>
                <w:szCs w:val="20"/>
                <w:lang w:val="en-GB"/>
              </w:rPr>
              <w:t>eNB</w:t>
            </w:r>
            <w:proofErr w:type="spellEnd"/>
            <w:r>
              <w:rPr>
                <w:rFonts w:eastAsia="DengXian"/>
                <w:sz w:val="20"/>
                <w:szCs w:val="20"/>
                <w:lang w:val="en-GB"/>
              </w:rPr>
              <w:t xml:space="preserve"> should be aware of the timing difference between SL and </w:t>
            </w:r>
            <w:proofErr w:type="spellStart"/>
            <w:r>
              <w:rPr>
                <w:rFonts w:eastAsia="DengXian"/>
                <w:sz w:val="20"/>
                <w:szCs w:val="20"/>
                <w:lang w:val="en-GB"/>
              </w:rPr>
              <w:t>Uu</w:t>
            </w:r>
            <w:proofErr w:type="spellEnd"/>
            <w:r>
              <w:rPr>
                <w:rFonts w:eastAsia="DengXian"/>
                <w:sz w:val="20"/>
                <w:szCs w:val="20"/>
                <w:lang w:val="en-GB"/>
              </w:rPr>
              <w:t>. This can be seen from the sync resource configuration, highlight part copied below. In NR-V2X, we can follow the same assumption.</w:t>
            </w:r>
          </w:p>
          <w:p w14:paraId="69EFACD1" w14:textId="77777777" w:rsidR="008036E3" w:rsidRDefault="008036E3" w:rsidP="008036E3">
            <w:pPr>
              <w:pStyle w:val="ListParagraph"/>
              <w:ind w:left="420"/>
              <w:rPr>
                <w:rFonts w:eastAsia="DengXian"/>
                <w:sz w:val="20"/>
                <w:szCs w:val="20"/>
                <w:lang w:val="en-GB"/>
              </w:rPr>
            </w:pPr>
          </w:p>
          <w:p w14:paraId="2AC5AC43" w14:textId="77777777" w:rsidR="008036E3" w:rsidRDefault="008036E3" w:rsidP="008036E3">
            <w:pPr>
              <w:pStyle w:val="ListParagraph"/>
              <w:ind w:left="420"/>
              <w:rPr>
                <w:rFonts w:eastAsia="DengXian"/>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C748BA" w14:paraId="34DBAB18" w14:textId="77777777" w:rsidTr="00975003">
        <w:tc>
          <w:tcPr>
            <w:tcW w:w="1189" w:type="dxa"/>
          </w:tcPr>
          <w:p w14:paraId="156858C3" w14:textId="2918CB57" w:rsidR="00C748BA" w:rsidRDefault="00C748BA" w:rsidP="00C748BA">
            <w:pPr>
              <w:rPr>
                <w:lang w:val="en-GB"/>
              </w:rPr>
            </w:pPr>
            <w:r>
              <w:rPr>
                <w:rFonts w:eastAsia="DengXian" w:hint="eastAsia"/>
                <w:lang w:val="en-GB"/>
              </w:rPr>
              <w:t>C</w:t>
            </w:r>
            <w:r>
              <w:rPr>
                <w:rFonts w:eastAsia="DengXian"/>
                <w:lang w:val="en-GB"/>
              </w:rPr>
              <w:t>MCC</w:t>
            </w:r>
          </w:p>
        </w:tc>
        <w:tc>
          <w:tcPr>
            <w:tcW w:w="8445" w:type="dxa"/>
          </w:tcPr>
          <w:p w14:paraId="373D9735"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w:t>
            </w:r>
            <w:proofErr w:type="spellStart"/>
            <w:r w:rsidRPr="009112B9">
              <w:rPr>
                <w:lang w:val="en-GB"/>
              </w:rPr>
              <w:t>Uu</w:t>
            </w:r>
            <w:proofErr w:type="spellEnd"/>
            <w:r w:rsidRPr="009112B9">
              <w:rPr>
                <w:lang w:val="en-GB"/>
              </w:rPr>
              <w:t xml:space="preserve"> slot index in the Nth periodicity.</w:t>
            </w:r>
          </w:p>
          <w:p w14:paraId="5F21F5B3" w14:textId="50DE947C" w:rsidR="00C748BA" w:rsidRDefault="00C748BA" w:rsidP="00C748BA">
            <w:pPr>
              <w:rPr>
                <w:lang w:val="en-GB"/>
              </w:rPr>
            </w:pPr>
            <w:r>
              <w:rPr>
                <w:lang w:val="en-GB"/>
              </w:rPr>
              <w:t xml:space="preserve">In our view, </w:t>
            </w:r>
            <w:proofErr w:type="spellStart"/>
            <w:r w:rsidRPr="009112B9">
              <w:rPr>
                <w:lang w:val="en-GB"/>
              </w:rPr>
              <w:t>gNB</w:t>
            </w:r>
            <w:proofErr w:type="spellEnd"/>
            <w:r w:rsidRPr="009112B9">
              <w:rPr>
                <w:lang w:val="en-GB"/>
              </w:rPr>
              <w:t xml:space="preserve"> should know the timing offset between SFN and DFN to guarantee the understanding of resource pool configuration and SL resource scheduling is aligned between </w:t>
            </w:r>
            <w:proofErr w:type="spellStart"/>
            <w:r w:rsidRPr="009112B9">
              <w:rPr>
                <w:lang w:val="en-GB"/>
              </w:rPr>
              <w:t>gNB</w:t>
            </w:r>
            <w:proofErr w:type="spellEnd"/>
            <w:r w:rsidRPr="009112B9">
              <w:rPr>
                <w:lang w:val="en-GB"/>
              </w:rPr>
              <w:t xml:space="preserve"> and UE. </w:t>
            </w:r>
          </w:p>
        </w:tc>
      </w:tr>
      <w:tr w:rsidR="00F3404C" w14:paraId="030350E8" w14:textId="77777777" w:rsidTr="00975003">
        <w:tc>
          <w:tcPr>
            <w:tcW w:w="1189" w:type="dxa"/>
          </w:tcPr>
          <w:p w14:paraId="2214D5FB" w14:textId="3F137228" w:rsidR="00F3404C" w:rsidRDefault="00F3404C" w:rsidP="00C748BA">
            <w:pPr>
              <w:rPr>
                <w:rFonts w:eastAsia="DengXian" w:hint="eastAsia"/>
                <w:lang w:val="en-GB"/>
              </w:rPr>
            </w:pPr>
          </w:p>
        </w:tc>
        <w:tc>
          <w:tcPr>
            <w:tcW w:w="8445" w:type="dxa"/>
          </w:tcPr>
          <w:p w14:paraId="1461B256" w14:textId="1469EF71" w:rsidR="00F3404C" w:rsidRPr="009112B9" w:rsidRDefault="00F3404C" w:rsidP="00C748BA">
            <w:pPr>
              <w:rPr>
                <w:lang w:val="en-GB"/>
              </w:rPr>
            </w:pP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Heading2"/>
      </w:pPr>
      <w:r w:rsidRPr="00724BCB">
        <w:lastRenderedPageBreak/>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ListParagraph"/>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TableGrid"/>
        <w:tblW w:w="9634" w:type="dxa"/>
        <w:tblLook w:val="04A0" w:firstRow="1" w:lastRow="0" w:firstColumn="1" w:lastColumn="0" w:noHBand="0" w:noVBand="1"/>
      </w:tblPr>
      <w:tblGrid>
        <w:gridCol w:w="1217"/>
        <w:gridCol w:w="8417"/>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TableGrid"/>
        <w:tblW w:w="9634" w:type="dxa"/>
        <w:tblLook w:val="04A0" w:firstRow="1" w:lastRow="0" w:firstColumn="1" w:lastColumn="0" w:noHBand="0" w:noVBand="1"/>
      </w:tblPr>
      <w:tblGrid>
        <w:gridCol w:w="1283"/>
        <w:gridCol w:w="8351"/>
      </w:tblGrid>
      <w:tr w:rsidR="005A3B37" w14:paraId="6650BD1F" w14:textId="77777777" w:rsidTr="00F3404C">
        <w:tc>
          <w:tcPr>
            <w:tcW w:w="1283"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F3404C">
        <w:tc>
          <w:tcPr>
            <w:tcW w:w="1283" w:type="dxa"/>
          </w:tcPr>
          <w:p w14:paraId="42744553" w14:textId="0F2F5874" w:rsidR="005A3B37" w:rsidRDefault="0077388C" w:rsidP="00975003">
            <w:pPr>
              <w:rPr>
                <w:lang w:val="en-GB"/>
              </w:rPr>
            </w:pPr>
            <w:r>
              <w:rPr>
                <w:lang w:val="en-GB"/>
              </w:rPr>
              <w:t>Ericsson</w:t>
            </w:r>
          </w:p>
        </w:tc>
        <w:tc>
          <w:tcPr>
            <w:tcW w:w="8351"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F3404C">
        <w:tc>
          <w:tcPr>
            <w:tcW w:w="1283" w:type="dxa"/>
          </w:tcPr>
          <w:p w14:paraId="2D768331" w14:textId="1E9058F6" w:rsidR="005A3B37" w:rsidRDefault="00DD73D3" w:rsidP="00975003">
            <w:pPr>
              <w:rPr>
                <w:lang w:val="en-GB"/>
              </w:rPr>
            </w:pPr>
            <w:r>
              <w:rPr>
                <w:lang w:val="en-GB"/>
              </w:rPr>
              <w:t>Intel</w:t>
            </w:r>
          </w:p>
        </w:tc>
        <w:tc>
          <w:tcPr>
            <w:tcW w:w="8351" w:type="dxa"/>
          </w:tcPr>
          <w:p w14:paraId="29DC7BC4" w14:textId="77777777" w:rsidR="00A11B94" w:rsidRDefault="00DD73D3" w:rsidP="00975003">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F3404C">
        <w:tc>
          <w:tcPr>
            <w:tcW w:w="1283" w:type="dxa"/>
          </w:tcPr>
          <w:p w14:paraId="38174D34" w14:textId="40CC5150" w:rsidR="005A3B37" w:rsidRPr="00393618" w:rsidRDefault="00393618" w:rsidP="00975003">
            <w:pPr>
              <w:rPr>
                <w:rFonts w:eastAsia="Yu Mincho"/>
                <w:lang w:val="en-GB"/>
              </w:rPr>
            </w:pPr>
            <w:r>
              <w:rPr>
                <w:rFonts w:eastAsia="Yu Mincho" w:hint="eastAsia"/>
                <w:lang w:val="en-GB"/>
              </w:rPr>
              <w:t>NTT DOCOMO</w:t>
            </w:r>
          </w:p>
        </w:tc>
        <w:tc>
          <w:tcPr>
            <w:tcW w:w="8351"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capability and to share it between mode 1/mode 2? Or same capability as </w:t>
            </w:r>
            <w:proofErr w:type="spellStart"/>
            <w:r>
              <w:rPr>
                <w:rFonts w:eastAsia="Yu Mincho"/>
                <w:lang w:val="en-GB"/>
              </w:rPr>
              <w:t>Uu</w:t>
            </w:r>
            <w:proofErr w:type="spellEnd"/>
            <w:r>
              <w:rPr>
                <w:rFonts w:eastAsia="Yu Mincho"/>
                <w:lang w:val="en-GB"/>
              </w:rPr>
              <w:t>?</w:t>
            </w:r>
          </w:p>
        </w:tc>
      </w:tr>
      <w:tr w:rsidR="008036E3" w14:paraId="289C3105" w14:textId="77777777" w:rsidTr="00F3404C">
        <w:tc>
          <w:tcPr>
            <w:tcW w:w="1283" w:type="dxa"/>
          </w:tcPr>
          <w:p w14:paraId="77C7D0F7" w14:textId="22EFBB75"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7A88FA9" w14:textId="61F729C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w:t>
            </w:r>
            <w:proofErr w:type="spellStart"/>
            <w:r>
              <w:rPr>
                <w:rFonts w:eastAsia="DengXian"/>
                <w:lang w:val="en-GB"/>
              </w:rPr>
              <w:t>Uu</w:t>
            </w:r>
            <w:proofErr w:type="spellEnd"/>
            <w:r>
              <w:rPr>
                <w:rFonts w:eastAsia="DengXian"/>
                <w:lang w:val="en-GB"/>
              </w:rPr>
              <w:t xml:space="preserve">. Considering in general, vehicle has higher processing capability, we can support cap#2 in NR SL. For the latter case, we have agreed </w:t>
            </w:r>
            <w:proofErr w:type="spellStart"/>
            <w:r>
              <w:rPr>
                <w:rFonts w:eastAsia="DengXian"/>
                <w:lang w:val="en-GB"/>
              </w:rPr>
              <w:t>Tprep</w:t>
            </w:r>
            <w:proofErr w:type="spellEnd"/>
            <w:r>
              <w:rPr>
                <w:rFonts w:eastAsia="DengXian"/>
                <w:lang w:val="en-GB"/>
              </w:rPr>
              <w:t xml:space="preserve"> in last meeting, and only one capability is enough in NR SL. </w:t>
            </w:r>
          </w:p>
        </w:tc>
      </w:tr>
      <w:tr w:rsidR="00F3404C" w14:paraId="7BD0EE32" w14:textId="77777777" w:rsidTr="00F3404C">
        <w:tc>
          <w:tcPr>
            <w:tcW w:w="1283" w:type="dxa"/>
          </w:tcPr>
          <w:p w14:paraId="388C14F1" w14:textId="495F680A" w:rsidR="00F3404C" w:rsidRDefault="00F3404C" w:rsidP="00F3404C">
            <w:pPr>
              <w:rPr>
                <w:rFonts w:eastAsia="DengXian" w:hint="eastAsia"/>
                <w:lang w:val="en-GB"/>
              </w:rPr>
            </w:pPr>
            <w:r>
              <w:rPr>
                <w:lang w:val="en-GB" w:eastAsia="ja-JP"/>
              </w:rPr>
              <w:t>Apple</w:t>
            </w:r>
          </w:p>
        </w:tc>
        <w:tc>
          <w:tcPr>
            <w:tcW w:w="8351" w:type="dxa"/>
          </w:tcPr>
          <w:p w14:paraId="710C316C" w14:textId="6C272C1C" w:rsidR="00F3404C" w:rsidRDefault="00F3404C" w:rsidP="00F3404C">
            <w:pPr>
              <w:rPr>
                <w:rFonts w:eastAsia="DengXian" w:hint="eastAsia"/>
                <w:lang w:val="en-GB"/>
              </w:rPr>
            </w:pPr>
            <w:r>
              <w:rPr>
                <w:lang w:val="en-GB" w:eastAsia="ja-JP"/>
              </w:rPr>
              <w:t>A single UE capability is preferred.</w:t>
            </w:r>
          </w:p>
        </w:tc>
      </w:tr>
    </w:tbl>
    <w:p w14:paraId="00AC506F" w14:textId="77777777" w:rsidR="00701AD5" w:rsidRDefault="00701AD5" w:rsidP="00D04EC5">
      <w:pPr>
        <w:rPr>
          <w:lang w:val="en-GB"/>
        </w:rPr>
      </w:pPr>
    </w:p>
    <w:p w14:paraId="67CD6C32" w14:textId="2CBFC282" w:rsidR="00CE46B8" w:rsidRPr="00CE46B8" w:rsidRDefault="00701AD5" w:rsidP="00CE46B8">
      <w:pPr>
        <w:pStyle w:val="Heading2"/>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 xml:space="preserve">for PSSCH preparation as in the following </w:t>
      </w:r>
      <w:proofErr w:type="gramStart"/>
      <w:r w:rsidR="0062318A" w:rsidRPr="0062318A">
        <w:rPr>
          <w:b/>
          <w:bCs/>
          <w:lang w:val="en-GB"/>
        </w:rPr>
        <w:t>proposal.</w:t>
      </w:r>
      <w:proofErr w:type="gramEnd"/>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ListParagraph"/>
        <w:numPr>
          <w:ilvl w:val="0"/>
          <w:numId w:val="41"/>
        </w:numPr>
        <w:rPr>
          <w:lang w:val="en-GB"/>
        </w:rPr>
      </w:pPr>
      <w:r>
        <w:rPr>
          <w:lang w:val="en-GB"/>
        </w:rPr>
        <w:lastRenderedPageBreak/>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297EB4" w:rsidP="00EC7443">
      <w:pPr>
        <w:pStyle w:val="ListParagraph"/>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297EB4" w:rsidP="00D4490A">
      <w:pPr>
        <w:pStyle w:val="ListParagraph"/>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ListParagraph"/>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297EB4"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ListParagraph"/>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83"/>
        <w:gridCol w:w="8351"/>
      </w:tblGrid>
      <w:tr w:rsidR="005A3B37" w14:paraId="11B361F8" w14:textId="77777777" w:rsidTr="00F3404C">
        <w:tc>
          <w:tcPr>
            <w:tcW w:w="1283"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F3404C">
        <w:tc>
          <w:tcPr>
            <w:tcW w:w="1283" w:type="dxa"/>
          </w:tcPr>
          <w:p w14:paraId="29C213AE" w14:textId="69239E10" w:rsidR="005A3B37" w:rsidRDefault="0077388C" w:rsidP="00975003">
            <w:pPr>
              <w:rPr>
                <w:lang w:val="en-GB"/>
              </w:rPr>
            </w:pPr>
            <w:r>
              <w:rPr>
                <w:lang w:val="en-GB"/>
              </w:rPr>
              <w:t>Ericsson</w:t>
            </w:r>
          </w:p>
        </w:tc>
        <w:tc>
          <w:tcPr>
            <w:tcW w:w="8351" w:type="dxa"/>
          </w:tcPr>
          <w:p w14:paraId="1579B09D" w14:textId="6D94C307" w:rsidR="005A3B37" w:rsidRDefault="0077388C" w:rsidP="00975003">
            <w:pPr>
              <w:rPr>
                <w:lang w:val="en-GB"/>
              </w:rPr>
            </w:pPr>
            <w:r>
              <w:rPr>
                <w:lang w:val="en-GB"/>
              </w:rPr>
              <w:t>Agree</w:t>
            </w:r>
          </w:p>
        </w:tc>
      </w:tr>
      <w:tr w:rsidR="005A3B37" w14:paraId="2E0DBAC7" w14:textId="77777777" w:rsidTr="00F3404C">
        <w:tc>
          <w:tcPr>
            <w:tcW w:w="1283" w:type="dxa"/>
          </w:tcPr>
          <w:p w14:paraId="5AA2FDCC" w14:textId="45C1A586" w:rsidR="005A3B37" w:rsidRDefault="00A11B94" w:rsidP="00975003">
            <w:pPr>
              <w:rPr>
                <w:lang w:val="en-GB"/>
              </w:rPr>
            </w:pPr>
            <w:r>
              <w:rPr>
                <w:lang w:val="en-GB"/>
              </w:rPr>
              <w:t>Intel</w:t>
            </w:r>
          </w:p>
        </w:tc>
        <w:tc>
          <w:tcPr>
            <w:tcW w:w="8351"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F3404C">
        <w:tc>
          <w:tcPr>
            <w:tcW w:w="1283"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351"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F3404C">
        <w:tc>
          <w:tcPr>
            <w:tcW w:w="1283" w:type="dxa"/>
          </w:tcPr>
          <w:p w14:paraId="0274823B" w14:textId="6DE5FB84"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AB4CA27" w14:textId="2AEEECE4" w:rsidR="008036E3" w:rsidRDefault="008036E3" w:rsidP="008036E3">
            <w:pPr>
              <w:rPr>
                <w:lang w:val="en-GB"/>
              </w:rPr>
            </w:pPr>
            <w:r>
              <w:rPr>
                <w:rFonts w:eastAsia="DengXian"/>
                <w:lang w:val="en-GB"/>
              </w:rPr>
              <w:t xml:space="preserve">Agree. </w:t>
            </w:r>
          </w:p>
        </w:tc>
      </w:tr>
      <w:tr w:rsidR="002846D7" w14:paraId="38F99FDB" w14:textId="77777777" w:rsidTr="00F3404C">
        <w:tc>
          <w:tcPr>
            <w:tcW w:w="1283" w:type="dxa"/>
          </w:tcPr>
          <w:p w14:paraId="7484274D" w14:textId="48C8112D"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51" w:type="dxa"/>
          </w:tcPr>
          <w:p w14:paraId="0CE49A21" w14:textId="4BE75055"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5C21EABD" w14:textId="77777777" w:rsidTr="00F3404C">
        <w:tc>
          <w:tcPr>
            <w:tcW w:w="1283" w:type="dxa"/>
          </w:tcPr>
          <w:p w14:paraId="1C26E7C2" w14:textId="78CDB292" w:rsidR="00F3404C" w:rsidRDefault="00F3404C" w:rsidP="00F3404C">
            <w:pPr>
              <w:rPr>
                <w:rFonts w:eastAsia="DengXian" w:hint="eastAsia"/>
                <w:lang w:val="en-GB"/>
              </w:rPr>
            </w:pPr>
            <w:r>
              <w:rPr>
                <w:lang w:val="en-GB" w:eastAsia="ja-JP"/>
              </w:rPr>
              <w:t>Apple</w:t>
            </w:r>
          </w:p>
        </w:tc>
        <w:tc>
          <w:tcPr>
            <w:tcW w:w="8351" w:type="dxa"/>
          </w:tcPr>
          <w:p w14:paraId="1B95C7E2" w14:textId="0648961C" w:rsidR="00F3404C" w:rsidRDefault="00F3404C" w:rsidP="00F3404C">
            <w:pPr>
              <w:rPr>
                <w:rFonts w:eastAsia="DengXian" w:hint="eastAsia"/>
                <w:lang w:val="en-GB"/>
              </w:rPr>
            </w:pPr>
            <w:r>
              <w:rPr>
                <w:lang w:val="en-GB" w:eastAsia="ja-JP"/>
              </w:rPr>
              <w:t>Agree</w:t>
            </w: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Heading2"/>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 xml:space="preserve">A UE does not expect to be scheduled to transmit the UL report corresponding to a PSFCH reception earlier than </w:t>
      </w:r>
      <w:proofErr w:type="spellStart"/>
      <w:r w:rsidRPr="006871FE">
        <w:rPr>
          <w:szCs w:val="20"/>
        </w:rPr>
        <w:t>T</w:t>
      </w:r>
      <w:r w:rsidRPr="006871FE">
        <w:rPr>
          <w:szCs w:val="20"/>
          <w:vertAlign w:val="subscript"/>
        </w:rPr>
        <w:t>prep</w:t>
      </w:r>
      <w:proofErr w:type="spellEnd"/>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proofErr w:type="spellStart"/>
      <w:r w:rsidRPr="006871FE">
        <w:rPr>
          <w:szCs w:val="20"/>
        </w:rPr>
        <w:t>T</w:t>
      </w:r>
      <w:r w:rsidRPr="006871FE">
        <w:rPr>
          <w:szCs w:val="20"/>
          <w:vertAlign w:val="subscript"/>
        </w:rPr>
        <w:t>prep</w:t>
      </w:r>
      <w:proofErr w:type="spellEnd"/>
      <w:r w:rsidRPr="006871FE">
        <w:rPr>
          <w:szCs w:val="20"/>
        </w:rPr>
        <w:t xml:space="preserve"> = (N+X) ∙ (2048+144) ∙ k ∙ 2</w:t>
      </w:r>
      <w:r w:rsidRPr="006871FE">
        <w:rPr>
          <w:szCs w:val="20"/>
          <w:vertAlign w:val="superscript"/>
        </w:rPr>
        <w:t xml:space="preserve"> –μ</w:t>
      </w:r>
      <w:r w:rsidRPr="006871FE">
        <w:rPr>
          <w:szCs w:val="20"/>
        </w:rPr>
        <w:t xml:space="preserve"> ∙ </w:t>
      </w:r>
      <w:proofErr w:type="spellStart"/>
      <w:r w:rsidRPr="006871FE">
        <w:rPr>
          <w:szCs w:val="20"/>
        </w:rPr>
        <w:t>T_c</w:t>
      </w:r>
      <w:proofErr w:type="spellEnd"/>
      <w:r w:rsidRPr="006871FE">
        <w:rPr>
          <w:szCs w:val="20"/>
        </w:rPr>
        <w:t xml:space="preserve">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xml:space="preserve">: N is 14, 18, 28 and 32 corresponds to the SCS configuration μ of 0, 1, 2 and 3, μ = </w:t>
      </w:r>
      <w:proofErr w:type="gramStart"/>
      <w:r w:rsidRPr="006871FE">
        <w:rPr>
          <w:szCs w:val="20"/>
        </w:rPr>
        <w:t>min(</w:t>
      </w:r>
      <w:proofErr w:type="spellStart"/>
      <w:proofErr w:type="gramEnd"/>
      <w:r w:rsidRPr="006871FE">
        <w:rPr>
          <w:szCs w:val="20"/>
        </w:rPr>
        <w:t>μ_SL</w:t>
      </w:r>
      <w:proofErr w:type="spellEnd"/>
      <w:r w:rsidRPr="006871FE">
        <w:rPr>
          <w:szCs w:val="20"/>
        </w:rPr>
        <w:t xml:space="preserve">, </w:t>
      </w:r>
      <w:proofErr w:type="spellStart"/>
      <w:r w:rsidRPr="006871FE">
        <w:rPr>
          <w:szCs w:val="20"/>
        </w:rPr>
        <w:t>μ_UL</w:t>
      </w:r>
      <w:proofErr w:type="spellEnd"/>
      <w:r w:rsidRPr="006871FE">
        <w:rPr>
          <w:szCs w:val="20"/>
        </w:rPr>
        <w:t>)</w:t>
      </w:r>
    </w:p>
    <w:p w14:paraId="084C9A75" w14:textId="77777777" w:rsidR="002C14CE" w:rsidRPr="006871FE" w:rsidRDefault="002C14CE" w:rsidP="002C14CE">
      <w:pPr>
        <w:numPr>
          <w:ilvl w:val="2"/>
          <w:numId w:val="31"/>
        </w:numPr>
        <w:rPr>
          <w:szCs w:val="20"/>
        </w:rPr>
      </w:pPr>
      <w:r w:rsidRPr="006871FE">
        <w:rPr>
          <w:szCs w:val="20"/>
        </w:rPr>
        <w:t xml:space="preserve">k = T_s / </w:t>
      </w:r>
      <w:proofErr w:type="spellStart"/>
      <w:r w:rsidRPr="006871FE">
        <w:rPr>
          <w:szCs w:val="20"/>
        </w:rPr>
        <w:t>T_c</w:t>
      </w:r>
      <w:proofErr w:type="spellEnd"/>
      <w:r w:rsidRPr="006871FE">
        <w:rPr>
          <w:szCs w:val="20"/>
        </w:rPr>
        <w:t xml:space="preserve">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TableGrid"/>
        <w:tblW w:w="9634" w:type="dxa"/>
        <w:tblLook w:val="04A0" w:firstRow="1" w:lastRow="0" w:firstColumn="1" w:lastColumn="0" w:noHBand="0" w:noVBand="1"/>
      </w:tblPr>
      <w:tblGrid>
        <w:gridCol w:w="1283"/>
        <w:gridCol w:w="8351"/>
      </w:tblGrid>
      <w:tr w:rsidR="005A3B37" w14:paraId="25CED92D" w14:textId="77777777" w:rsidTr="00F3404C">
        <w:tc>
          <w:tcPr>
            <w:tcW w:w="1283"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F3404C">
        <w:tc>
          <w:tcPr>
            <w:tcW w:w="1283" w:type="dxa"/>
          </w:tcPr>
          <w:p w14:paraId="0B6E47F3" w14:textId="3AF31298" w:rsidR="005A3B37" w:rsidRDefault="0077388C" w:rsidP="00975003">
            <w:pPr>
              <w:rPr>
                <w:lang w:val="en-GB"/>
              </w:rPr>
            </w:pPr>
            <w:r>
              <w:rPr>
                <w:lang w:val="en-GB"/>
              </w:rPr>
              <w:t>Ericsson</w:t>
            </w:r>
          </w:p>
        </w:tc>
        <w:tc>
          <w:tcPr>
            <w:tcW w:w="8351"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w:t>
            </w:r>
            <w:proofErr w:type="spellStart"/>
            <w:r>
              <w:rPr>
                <w:lang w:val="en-GB"/>
              </w:rPr>
              <w:t>gNB</w:t>
            </w:r>
            <w:proofErr w:type="spellEnd"/>
            <w:r>
              <w:rPr>
                <w:lang w:val="en-GB"/>
              </w:rPr>
              <w:t xml:space="preserve"> and the UE have a common understanding of the minimum gap. </w:t>
            </w:r>
          </w:p>
        </w:tc>
      </w:tr>
      <w:tr w:rsidR="005A3B37" w14:paraId="62DE65F0" w14:textId="77777777" w:rsidTr="00F3404C">
        <w:tc>
          <w:tcPr>
            <w:tcW w:w="1283" w:type="dxa"/>
          </w:tcPr>
          <w:p w14:paraId="2C0B28C4" w14:textId="4D1746B3" w:rsidR="005A3B37" w:rsidRDefault="00F332A9" w:rsidP="00975003">
            <w:pPr>
              <w:rPr>
                <w:lang w:val="en-GB"/>
              </w:rPr>
            </w:pPr>
            <w:r>
              <w:rPr>
                <w:lang w:val="en-GB"/>
              </w:rPr>
              <w:t>Intel</w:t>
            </w:r>
          </w:p>
        </w:tc>
        <w:tc>
          <w:tcPr>
            <w:tcW w:w="8351" w:type="dxa"/>
          </w:tcPr>
          <w:p w14:paraId="4327A47F" w14:textId="03518135" w:rsidR="005A3B37" w:rsidRDefault="00F332A9" w:rsidP="00975003">
            <w:pPr>
              <w:rPr>
                <w:lang w:val="en-GB"/>
              </w:rPr>
            </w:pPr>
            <w:r>
              <w:rPr>
                <w:lang w:val="en-GB"/>
              </w:rPr>
              <w:t>Agree to let X = 0</w:t>
            </w:r>
          </w:p>
        </w:tc>
      </w:tr>
      <w:tr w:rsidR="005A3B37" w14:paraId="43F3CE17" w14:textId="77777777" w:rsidTr="00F3404C">
        <w:tc>
          <w:tcPr>
            <w:tcW w:w="1283"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351"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F3404C">
        <w:tc>
          <w:tcPr>
            <w:tcW w:w="1283" w:type="dxa"/>
          </w:tcPr>
          <w:p w14:paraId="7B362CFB" w14:textId="6C5E2D22"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68689736" w14:textId="73F66590"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58D64AD6" w14:textId="77777777" w:rsidTr="00F3404C">
        <w:tc>
          <w:tcPr>
            <w:tcW w:w="1283" w:type="dxa"/>
          </w:tcPr>
          <w:p w14:paraId="2CB3D137" w14:textId="09B1D34D" w:rsidR="00F3404C" w:rsidRDefault="00F3404C" w:rsidP="00F3404C">
            <w:pPr>
              <w:rPr>
                <w:rFonts w:eastAsia="DengXian" w:hint="eastAsia"/>
                <w:lang w:val="en-GB"/>
              </w:rPr>
            </w:pPr>
            <w:r>
              <w:rPr>
                <w:lang w:val="en-GB" w:eastAsia="ja-JP"/>
              </w:rPr>
              <w:t>Apple</w:t>
            </w:r>
          </w:p>
        </w:tc>
        <w:tc>
          <w:tcPr>
            <w:tcW w:w="8351" w:type="dxa"/>
          </w:tcPr>
          <w:p w14:paraId="1754C732" w14:textId="77777777" w:rsidR="00F3404C" w:rsidRDefault="00F3404C" w:rsidP="00F3404C">
            <w:pPr>
              <w:rPr>
                <w:lang w:val="en-GB" w:eastAsia="ja-JP"/>
              </w:rPr>
            </w:pPr>
            <w:r>
              <w:rPr>
                <w:lang w:val="en-GB" w:eastAsia="ja-JP"/>
              </w:rPr>
              <w:t xml:space="preserve">Confirm the </w:t>
            </w:r>
            <w:proofErr w:type="spellStart"/>
            <w:r>
              <w:rPr>
                <w:lang w:val="en-GB" w:eastAsia="ja-JP"/>
              </w:rPr>
              <w:t>WA.</w:t>
            </w:r>
          </w:p>
          <w:p w14:paraId="5FB5F20F" w14:textId="53E01E5E" w:rsidR="00F3404C" w:rsidRDefault="00F3404C" w:rsidP="00F3404C">
            <w:pPr>
              <w:rPr>
                <w:lang w:val="en-GB" w:eastAsia="ja-JP"/>
              </w:rPr>
            </w:pPr>
            <w:proofErr w:type="spellEnd"/>
            <w:r>
              <w:rPr>
                <w:lang w:val="en-GB" w:eastAsia="ja-JP"/>
              </w:rPr>
              <w:lastRenderedPageBreak/>
              <w:t xml:space="preserve">The introduction of X is to allow UE a longer time to handle multiple PSFCH receptions. Hence, for a large number of PSFCH receptions, X can be 1. </w:t>
            </w:r>
          </w:p>
          <w:p w14:paraId="57F9E1AD" w14:textId="77777777" w:rsidR="00F3404C" w:rsidRDefault="00F3404C" w:rsidP="00F3404C">
            <w:pPr>
              <w:rPr>
                <w:lang w:val="en-GB" w:eastAsia="ja-JP"/>
              </w:rPr>
            </w:pPr>
          </w:p>
          <w:p w14:paraId="096DEAD3" w14:textId="2EB41F0B" w:rsidR="00F3404C" w:rsidRPr="00F3404C" w:rsidRDefault="00F3404C" w:rsidP="00F3404C">
            <w:pPr>
              <w:rPr>
                <w:rFonts w:hint="eastAsia"/>
                <w:lang w:val="en-GB" w:eastAsia="ja-JP"/>
              </w:rPr>
            </w:pPr>
            <w:r>
              <w:rPr>
                <w:lang w:val="en-GB" w:eastAsia="ja-JP"/>
              </w:rPr>
              <w:t xml:space="preserve">We notice from RAN2 agreement that </w:t>
            </w:r>
            <w:proofErr w:type="spellStart"/>
            <w:r>
              <w:rPr>
                <w:lang w:val="en-GB" w:eastAsia="ja-JP"/>
              </w:rPr>
              <w:t>gNB</w:t>
            </w:r>
            <w:proofErr w:type="spellEnd"/>
            <w:r>
              <w:rPr>
                <w:lang w:val="en-GB" w:eastAsia="ja-JP"/>
              </w:rPr>
              <w:t xml:space="preserve"> does not know sidelink group size. Hence, we think X is set to 1 for sidelink groupcast, and X is set to 0 for sidelink unicast. </w:t>
            </w:r>
          </w:p>
        </w:tc>
      </w:tr>
    </w:tbl>
    <w:p w14:paraId="2D37F5B9" w14:textId="18659749" w:rsidR="002C14CE" w:rsidRDefault="002C14CE" w:rsidP="00D04EC5">
      <w:pPr>
        <w:rPr>
          <w:lang w:val="en-GB"/>
        </w:rPr>
      </w:pPr>
    </w:p>
    <w:p w14:paraId="39E0E60C" w14:textId="3AFEC5F2"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ListParagraph"/>
        <w:numPr>
          <w:ilvl w:val="0"/>
          <w:numId w:val="36"/>
        </w:numPr>
        <w:rPr>
          <w:lang w:val="en-GB"/>
        </w:rPr>
      </w:pPr>
      <w:r>
        <w:rPr>
          <w:lang w:val="en-GB"/>
        </w:rPr>
        <w:t xml:space="preserve">RAN1 sees no problem in using the </w:t>
      </w:r>
      <w:proofErr w:type="spellStart"/>
      <w:r>
        <w:rPr>
          <w:lang w:val="en-GB"/>
        </w:rPr>
        <w:t>IIoT</w:t>
      </w:r>
      <w:proofErr w:type="spellEnd"/>
      <w:r>
        <w:rPr>
          <w:lang w:val="en-GB"/>
        </w:rPr>
        <w:t xml:space="preserve"> equation for HARQ process ID determination for NR sidelink with the following changes:</w:t>
      </w:r>
    </w:p>
    <w:p w14:paraId="58C5E581" w14:textId="16EE35F2" w:rsidR="008704D3" w:rsidRDefault="008704D3" w:rsidP="008704D3">
      <w:pPr>
        <w:pStyle w:val="ListParagraph"/>
        <w:numPr>
          <w:ilvl w:val="1"/>
          <w:numId w:val="36"/>
        </w:numPr>
        <w:rPr>
          <w:lang w:val="en-GB"/>
        </w:rPr>
      </w:pPr>
      <w:proofErr w:type="spellStart"/>
      <w:r>
        <w:rPr>
          <w:lang w:val="en-GB"/>
        </w:rPr>
        <w:t>CURRENT_symbol</w:t>
      </w:r>
      <w:proofErr w:type="spellEnd"/>
      <w:r>
        <w:rPr>
          <w:lang w:val="en-GB"/>
        </w:rPr>
        <w:t xml:space="preserve"> should be replaced by </w:t>
      </w:r>
      <w:proofErr w:type="spellStart"/>
      <w:r>
        <w:rPr>
          <w:lang w:val="en-GB"/>
        </w:rPr>
        <w:t>CURRENT_slot</w:t>
      </w:r>
      <w:proofErr w:type="spellEnd"/>
    </w:p>
    <w:p w14:paraId="3AE7BE0D" w14:textId="63619FDF" w:rsidR="008704D3" w:rsidRPr="008704D3" w:rsidRDefault="008704D3" w:rsidP="008704D3">
      <w:pPr>
        <w:pStyle w:val="ListParagraph"/>
        <w:numPr>
          <w:ilvl w:val="1"/>
          <w:numId w:val="36"/>
        </w:numPr>
        <w:rPr>
          <w:lang w:val="en-GB"/>
        </w:rPr>
      </w:pPr>
      <w:r w:rsidRPr="008704D3">
        <w:rPr>
          <w:i/>
          <w:iCs/>
          <w:lang w:val="en-GB"/>
        </w:rPr>
        <w:t>periodicity</w:t>
      </w:r>
      <w:r>
        <w:rPr>
          <w:lang w:val="en-GB"/>
        </w:rPr>
        <w:t xml:space="preserve"> should be expressed in slots</w:t>
      </w:r>
    </w:p>
    <w:tbl>
      <w:tblPr>
        <w:tblStyle w:val="TableGrid"/>
        <w:tblW w:w="9634" w:type="dxa"/>
        <w:tblLook w:val="04A0" w:firstRow="1" w:lastRow="0" w:firstColumn="1" w:lastColumn="0" w:noHBand="0" w:noVBand="1"/>
      </w:tblPr>
      <w:tblGrid>
        <w:gridCol w:w="1217"/>
        <w:gridCol w:w="8417"/>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975003">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975003">
        <w:tc>
          <w:tcPr>
            <w:tcW w:w="1189" w:type="dxa"/>
          </w:tcPr>
          <w:p w14:paraId="02DD48FE" w14:textId="04F2B960" w:rsidR="008036E3" w:rsidRDefault="008036E3" w:rsidP="008036E3">
            <w:pPr>
              <w:rPr>
                <w:lang w:val="en-GB"/>
              </w:rPr>
            </w:pPr>
            <w:r>
              <w:rPr>
                <w:rFonts w:eastAsia="DengXian" w:hint="eastAsia"/>
                <w:lang w:val="en-GB"/>
              </w:rPr>
              <w:t>O</w:t>
            </w:r>
            <w:r>
              <w:rPr>
                <w:rFonts w:eastAsia="DengXian"/>
                <w:lang w:val="en-GB"/>
              </w:rPr>
              <w:t>PPO</w:t>
            </w:r>
          </w:p>
        </w:tc>
        <w:tc>
          <w:tcPr>
            <w:tcW w:w="8445" w:type="dxa"/>
          </w:tcPr>
          <w:p w14:paraId="6EBE3997"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C748BA" w14:paraId="3368BAF0" w14:textId="77777777" w:rsidTr="00975003">
        <w:tc>
          <w:tcPr>
            <w:tcW w:w="1189" w:type="dxa"/>
          </w:tcPr>
          <w:p w14:paraId="7AB0B32D" w14:textId="7FB6FAAB" w:rsidR="00C748BA" w:rsidRDefault="00C748BA" w:rsidP="00C748BA">
            <w:pPr>
              <w:rPr>
                <w:lang w:val="en-GB"/>
              </w:rPr>
            </w:pPr>
            <w:r>
              <w:rPr>
                <w:rFonts w:eastAsia="DengXian" w:hint="eastAsia"/>
                <w:lang w:val="en-GB"/>
              </w:rPr>
              <w:t>C</w:t>
            </w:r>
            <w:r>
              <w:rPr>
                <w:rFonts w:eastAsia="DengXian"/>
                <w:lang w:val="en-GB"/>
              </w:rPr>
              <w:t>MCC</w:t>
            </w:r>
          </w:p>
        </w:tc>
        <w:tc>
          <w:tcPr>
            <w:tcW w:w="8445" w:type="dxa"/>
          </w:tcPr>
          <w:p w14:paraId="67D6B849" w14:textId="29BB7E50"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1613A1B6" w14:textId="77777777" w:rsidTr="00975003">
        <w:tc>
          <w:tcPr>
            <w:tcW w:w="1189" w:type="dxa"/>
          </w:tcPr>
          <w:p w14:paraId="7B43F12B" w14:textId="33C48DD7" w:rsidR="00F3404C" w:rsidRDefault="00F3404C" w:rsidP="00C748BA">
            <w:pPr>
              <w:rPr>
                <w:rFonts w:eastAsia="DengXian" w:hint="eastAsia"/>
                <w:lang w:val="en-GB"/>
              </w:rPr>
            </w:pPr>
            <w:r>
              <w:rPr>
                <w:rFonts w:eastAsia="DengXian"/>
                <w:lang w:val="en-GB"/>
              </w:rPr>
              <w:t>Apple</w:t>
            </w:r>
          </w:p>
        </w:tc>
        <w:tc>
          <w:tcPr>
            <w:tcW w:w="8445" w:type="dxa"/>
          </w:tcPr>
          <w:p w14:paraId="41E56BA3" w14:textId="77777777" w:rsidR="00F3404C" w:rsidRDefault="00F3404C" w:rsidP="00F3404C">
            <w:pPr>
              <w:rPr>
                <w:lang w:val="en-GB" w:eastAsia="ja-JP"/>
              </w:rPr>
            </w:pPr>
            <w:r>
              <w:rPr>
                <w:lang w:val="en-GB" w:eastAsia="ja-JP"/>
              </w:rPr>
              <w:t xml:space="preserve">We think the proposed conclusion is fine. </w:t>
            </w:r>
          </w:p>
          <w:p w14:paraId="195F1918" w14:textId="77777777" w:rsidR="00F3404C" w:rsidRDefault="00F3404C" w:rsidP="00F3404C">
            <w:pPr>
              <w:rPr>
                <w:lang w:val="en-GB" w:eastAsia="ja-JP"/>
              </w:rPr>
            </w:pPr>
          </w:p>
          <w:p w14:paraId="78880ACF" w14:textId="70526F21" w:rsidR="00F3404C" w:rsidRDefault="00F3404C" w:rsidP="00F3404C">
            <w:pPr>
              <w:rPr>
                <w:rFonts w:eastAsia="DengXian" w:hint="eastAsia"/>
                <w:lang w:val="en-GB"/>
              </w:rPr>
            </w:pPr>
            <w:r>
              <w:rPr>
                <w:lang w:val="en-GB" w:eastAsia="ja-JP"/>
              </w:rPr>
              <w:t xml:space="preserve">Since multiple configured sidelink grants are supported, the HARQ process ID offset per configured sidelink grant can be applied, similar to </w:t>
            </w:r>
            <w:proofErr w:type="spellStart"/>
            <w:r>
              <w:rPr>
                <w:lang w:val="en-GB" w:eastAsia="ja-JP"/>
              </w:rPr>
              <w:t>IIoT</w:t>
            </w:r>
            <w:proofErr w:type="spellEnd"/>
            <w:r>
              <w:rPr>
                <w:lang w:val="en-GB" w:eastAsia="ja-JP"/>
              </w:rPr>
              <w:t xml:space="preserve"> case.</w:t>
            </w:r>
          </w:p>
        </w:tc>
      </w:tr>
    </w:tbl>
    <w:p w14:paraId="376653A5" w14:textId="77777777" w:rsidR="00AF61CE" w:rsidRDefault="00AF61CE" w:rsidP="008704D3">
      <w:pPr>
        <w:rPr>
          <w:b/>
          <w:bCs/>
          <w:lang w:val="en-GB"/>
        </w:rPr>
      </w:pPr>
    </w:p>
    <w:p w14:paraId="7AD38D90" w14:textId="67C4CC16" w:rsidR="00A80730" w:rsidRDefault="00A80730" w:rsidP="00A80730">
      <w:pPr>
        <w:pStyle w:val="Heading2"/>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TableGrid"/>
        <w:tblW w:w="9634" w:type="dxa"/>
        <w:tblLook w:val="04A0" w:firstRow="1" w:lastRow="0" w:firstColumn="1" w:lastColumn="0" w:noHBand="0" w:noVBand="1"/>
      </w:tblPr>
      <w:tblGrid>
        <w:gridCol w:w="1283"/>
        <w:gridCol w:w="8351"/>
      </w:tblGrid>
      <w:tr w:rsidR="005A3B37" w14:paraId="0C7EE839" w14:textId="77777777" w:rsidTr="00F3404C">
        <w:tc>
          <w:tcPr>
            <w:tcW w:w="1283"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F3404C">
        <w:tc>
          <w:tcPr>
            <w:tcW w:w="1283" w:type="dxa"/>
          </w:tcPr>
          <w:p w14:paraId="7B9F9B3C" w14:textId="69324E6A" w:rsidR="005A3B37" w:rsidRDefault="0077388C" w:rsidP="00975003">
            <w:pPr>
              <w:rPr>
                <w:lang w:val="en-GB"/>
              </w:rPr>
            </w:pPr>
            <w:r>
              <w:rPr>
                <w:lang w:val="en-GB"/>
              </w:rPr>
              <w:t>Ericsson</w:t>
            </w:r>
          </w:p>
        </w:tc>
        <w:tc>
          <w:tcPr>
            <w:tcW w:w="8351"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F3404C">
        <w:tc>
          <w:tcPr>
            <w:tcW w:w="1283" w:type="dxa"/>
          </w:tcPr>
          <w:p w14:paraId="4CA37B5E" w14:textId="7E4B7EC8" w:rsidR="005A3B37" w:rsidRDefault="00F332A9" w:rsidP="00975003">
            <w:pPr>
              <w:rPr>
                <w:lang w:val="en-GB"/>
              </w:rPr>
            </w:pPr>
            <w:r>
              <w:rPr>
                <w:lang w:val="en-GB"/>
              </w:rPr>
              <w:t>Intel</w:t>
            </w:r>
          </w:p>
        </w:tc>
        <w:tc>
          <w:tcPr>
            <w:tcW w:w="8351" w:type="dxa"/>
          </w:tcPr>
          <w:p w14:paraId="36C094A6" w14:textId="79079DB7" w:rsidR="005A3B37" w:rsidRDefault="00F332A9" w:rsidP="00975003">
            <w:pPr>
              <w:rPr>
                <w:lang w:val="en-GB"/>
              </w:rPr>
            </w:pPr>
            <w:r>
              <w:rPr>
                <w:lang w:val="en-GB"/>
              </w:rPr>
              <w:t>Agree with Ericsson</w:t>
            </w:r>
          </w:p>
        </w:tc>
      </w:tr>
      <w:tr w:rsidR="005A3B37" w14:paraId="56F9CD53" w14:textId="77777777" w:rsidTr="00F3404C">
        <w:tc>
          <w:tcPr>
            <w:tcW w:w="1283" w:type="dxa"/>
          </w:tcPr>
          <w:p w14:paraId="2640159C" w14:textId="0AC56ABF" w:rsidR="005A3B37" w:rsidRPr="00393618" w:rsidRDefault="00393618" w:rsidP="00975003">
            <w:pPr>
              <w:rPr>
                <w:rFonts w:eastAsia="Yu Mincho"/>
                <w:lang w:val="en-GB"/>
              </w:rPr>
            </w:pPr>
            <w:r>
              <w:rPr>
                <w:rFonts w:eastAsia="Yu Mincho" w:hint="eastAsia"/>
                <w:lang w:val="en-GB"/>
              </w:rPr>
              <w:lastRenderedPageBreak/>
              <w:t>NTT DOCOMO</w:t>
            </w:r>
          </w:p>
        </w:tc>
        <w:tc>
          <w:tcPr>
            <w:tcW w:w="8351"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F3404C">
        <w:tc>
          <w:tcPr>
            <w:tcW w:w="1283" w:type="dxa"/>
          </w:tcPr>
          <w:p w14:paraId="4846E023" w14:textId="2AA51785"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621189A3" w14:textId="03FE9047" w:rsidR="008036E3" w:rsidRDefault="008036E3" w:rsidP="008036E3">
            <w:pPr>
              <w:rPr>
                <w:lang w:val="en-GB"/>
              </w:rPr>
            </w:pPr>
            <w:r>
              <w:rPr>
                <w:lang w:val="en-GB"/>
              </w:rPr>
              <w:t>Agree with Ericsson</w:t>
            </w:r>
          </w:p>
        </w:tc>
      </w:tr>
      <w:tr w:rsidR="00C748BA" w14:paraId="35CE683F" w14:textId="77777777" w:rsidTr="00F3404C">
        <w:tc>
          <w:tcPr>
            <w:tcW w:w="1283" w:type="dxa"/>
          </w:tcPr>
          <w:p w14:paraId="3488D98E" w14:textId="5A8F718B"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010EF4B5" w14:textId="4C03C10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46CAE18C" w14:textId="77777777" w:rsidTr="00F3404C">
        <w:tc>
          <w:tcPr>
            <w:tcW w:w="1283" w:type="dxa"/>
          </w:tcPr>
          <w:p w14:paraId="05D7C9CD" w14:textId="097C9013" w:rsidR="00F3404C" w:rsidRDefault="00F3404C" w:rsidP="00F3404C">
            <w:pPr>
              <w:rPr>
                <w:rFonts w:eastAsia="DengXian" w:hint="eastAsia"/>
                <w:lang w:val="en-GB"/>
              </w:rPr>
            </w:pPr>
            <w:r>
              <w:rPr>
                <w:lang w:val="en-GB" w:eastAsia="ja-JP"/>
              </w:rPr>
              <w:t>Apple</w:t>
            </w:r>
          </w:p>
        </w:tc>
        <w:tc>
          <w:tcPr>
            <w:tcW w:w="8351" w:type="dxa"/>
          </w:tcPr>
          <w:p w14:paraId="42656470" w14:textId="04A581AE" w:rsidR="00F3404C" w:rsidRDefault="00F3404C" w:rsidP="00F3404C">
            <w:pPr>
              <w:rPr>
                <w:rFonts w:eastAsia="DengXian" w:hint="eastAsia"/>
                <w:lang w:val="en-GB"/>
              </w:rPr>
            </w:pPr>
            <w:r>
              <w:rPr>
                <w:lang w:val="en-GB" w:eastAsia="ja-JP"/>
              </w:rPr>
              <w:t>Agree with Ericsson.</w:t>
            </w: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Heading2"/>
      </w:pPr>
      <w:r w:rsidRPr="00AF61CE">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TableGrid"/>
        <w:tblW w:w="9634" w:type="dxa"/>
        <w:tblLook w:val="04A0" w:firstRow="1" w:lastRow="0" w:firstColumn="1" w:lastColumn="0" w:noHBand="0" w:noVBand="1"/>
      </w:tblPr>
      <w:tblGrid>
        <w:gridCol w:w="1283"/>
        <w:gridCol w:w="8351"/>
      </w:tblGrid>
      <w:tr w:rsidR="005A3B37" w14:paraId="1CEADA42" w14:textId="77777777" w:rsidTr="00F3404C">
        <w:tc>
          <w:tcPr>
            <w:tcW w:w="1283"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F3404C">
        <w:tc>
          <w:tcPr>
            <w:tcW w:w="1283" w:type="dxa"/>
          </w:tcPr>
          <w:p w14:paraId="78C3D224" w14:textId="6363BEA3" w:rsidR="005A3B37" w:rsidRDefault="0077388C" w:rsidP="00975003">
            <w:pPr>
              <w:rPr>
                <w:lang w:val="en-GB"/>
              </w:rPr>
            </w:pPr>
            <w:r>
              <w:rPr>
                <w:lang w:val="en-GB"/>
              </w:rPr>
              <w:t>Ericsson</w:t>
            </w:r>
          </w:p>
        </w:tc>
        <w:tc>
          <w:tcPr>
            <w:tcW w:w="8351" w:type="dxa"/>
          </w:tcPr>
          <w:p w14:paraId="0B61A9D0" w14:textId="534D72C7" w:rsidR="005A3B37" w:rsidRDefault="0077388C" w:rsidP="00975003">
            <w:pPr>
              <w:rPr>
                <w:lang w:val="en-GB"/>
              </w:rPr>
            </w:pPr>
            <w:r>
              <w:rPr>
                <w:lang w:val="en-GB"/>
              </w:rPr>
              <w:t>No need for feedback</w:t>
            </w:r>
          </w:p>
        </w:tc>
      </w:tr>
      <w:tr w:rsidR="005A3B37" w14:paraId="285596F3" w14:textId="77777777" w:rsidTr="00F3404C">
        <w:tc>
          <w:tcPr>
            <w:tcW w:w="1283" w:type="dxa"/>
          </w:tcPr>
          <w:p w14:paraId="2098E221" w14:textId="10687F16" w:rsidR="005A3B37" w:rsidRDefault="00F332A9" w:rsidP="00975003">
            <w:pPr>
              <w:rPr>
                <w:lang w:val="en-GB"/>
              </w:rPr>
            </w:pPr>
            <w:r>
              <w:rPr>
                <w:lang w:val="en-GB"/>
              </w:rPr>
              <w:t>Intel</w:t>
            </w:r>
          </w:p>
        </w:tc>
        <w:tc>
          <w:tcPr>
            <w:tcW w:w="8351" w:type="dxa"/>
          </w:tcPr>
          <w:p w14:paraId="2427DCFD" w14:textId="4219EDB6" w:rsidR="005A3B37" w:rsidRDefault="00F332A9" w:rsidP="00975003">
            <w:pPr>
              <w:rPr>
                <w:lang w:val="en-GB"/>
              </w:rPr>
            </w:pPr>
            <w:r>
              <w:rPr>
                <w:lang w:val="en-GB"/>
              </w:rPr>
              <w:t>No need for feedback</w:t>
            </w:r>
          </w:p>
        </w:tc>
      </w:tr>
      <w:tr w:rsidR="005A3B37" w14:paraId="28BBF763" w14:textId="77777777" w:rsidTr="00F3404C">
        <w:tc>
          <w:tcPr>
            <w:tcW w:w="1283"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351" w:type="dxa"/>
          </w:tcPr>
          <w:p w14:paraId="0F1160D1" w14:textId="0FAD0CC2" w:rsidR="005A3B37" w:rsidRDefault="00393618" w:rsidP="00975003">
            <w:pPr>
              <w:rPr>
                <w:lang w:val="en-GB"/>
              </w:rPr>
            </w:pPr>
            <w:r>
              <w:rPr>
                <w:lang w:val="en-GB"/>
              </w:rPr>
              <w:t>No need for feedback</w:t>
            </w:r>
          </w:p>
        </w:tc>
      </w:tr>
      <w:tr w:rsidR="008036E3" w14:paraId="6C815F46" w14:textId="77777777" w:rsidTr="00F3404C">
        <w:tc>
          <w:tcPr>
            <w:tcW w:w="1283" w:type="dxa"/>
          </w:tcPr>
          <w:p w14:paraId="4E0E530D" w14:textId="3782F98F"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1694FB82" w14:textId="36ACC482" w:rsidR="008036E3" w:rsidRDefault="008036E3" w:rsidP="008036E3">
            <w:pPr>
              <w:rPr>
                <w:lang w:val="en-GB"/>
              </w:rPr>
            </w:pPr>
            <w:r>
              <w:rPr>
                <w:rFonts w:eastAsia="DengXian"/>
                <w:lang w:val="en-GB"/>
              </w:rPr>
              <w:t xml:space="preserve">The interpretation of the parameters, such as periodicity is based on logical slots within the resource pool that the SL CG is associated to, should be informed to RAN2. </w:t>
            </w:r>
          </w:p>
        </w:tc>
      </w:tr>
      <w:tr w:rsidR="00C748BA" w14:paraId="23336883" w14:textId="77777777" w:rsidTr="00F3404C">
        <w:tc>
          <w:tcPr>
            <w:tcW w:w="1283" w:type="dxa"/>
          </w:tcPr>
          <w:p w14:paraId="2724E3B1" w14:textId="61C93051"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4D3FC9F4" w14:textId="7E4F8011" w:rsidR="00C748BA" w:rsidRDefault="00C748BA" w:rsidP="00C748BA">
            <w:pPr>
              <w:rPr>
                <w:rFonts w:eastAsia="DengXian"/>
                <w:lang w:val="en-GB"/>
              </w:rPr>
            </w:pPr>
            <w:r>
              <w:rPr>
                <w:lang w:val="en-GB"/>
              </w:rPr>
              <w:t>No need for feedback</w:t>
            </w:r>
          </w:p>
        </w:tc>
      </w:tr>
      <w:tr w:rsidR="00F3404C" w14:paraId="3212BCCF" w14:textId="77777777" w:rsidTr="00F3404C">
        <w:tc>
          <w:tcPr>
            <w:tcW w:w="1283" w:type="dxa"/>
          </w:tcPr>
          <w:p w14:paraId="7187B0A5" w14:textId="00970DEE" w:rsidR="00F3404C" w:rsidRDefault="00F3404C" w:rsidP="00F3404C">
            <w:pPr>
              <w:rPr>
                <w:rFonts w:eastAsia="DengXian" w:hint="eastAsia"/>
                <w:lang w:val="en-GB"/>
              </w:rPr>
            </w:pPr>
            <w:r>
              <w:rPr>
                <w:lang w:val="en-GB" w:eastAsia="ja-JP"/>
              </w:rPr>
              <w:t>Apple</w:t>
            </w:r>
          </w:p>
        </w:tc>
        <w:tc>
          <w:tcPr>
            <w:tcW w:w="8351" w:type="dxa"/>
          </w:tcPr>
          <w:p w14:paraId="7D90AB90" w14:textId="39D02137" w:rsidR="00F3404C" w:rsidRDefault="00F3404C" w:rsidP="00F3404C">
            <w:pPr>
              <w:rPr>
                <w:lang w:val="en-GB"/>
              </w:rPr>
            </w:pPr>
            <w:r>
              <w:rPr>
                <w:lang w:val="en-GB" w:eastAsia="ja-JP"/>
              </w:rPr>
              <w:t>No need for feedback</w:t>
            </w:r>
          </w:p>
        </w:tc>
      </w:tr>
    </w:tbl>
    <w:p w14:paraId="4D90AB4B" w14:textId="4A4F0722" w:rsidR="008704D3" w:rsidRDefault="008704D3" w:rsidP="00D04EC5">
      <w:pPr>
        <w:rPr>
          <w:lang w:val="en-GB"/>
        </w:rPr>
      </w:pPr>
    </w:p>
    <w:p w14:paraId="056E9EF3" w14:textId="14727106"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17"/>
        <w:gridCol w:w="8417"/>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09327" w14:textId="77777777" w:rsidR="00297EB4" w:rsidRDefault="00297EB4">
      <w:r>
        <w:separator/>
      </w:r>
    </w:p>
  </w:endnote>
  <w:endnote w:type="continuationSeparator" w:id="0">
    <w:p w14:paraId="6EBC71A4" w14:textId="77777777" w:rsidR="00297EB4" w:rsidRDefault="00297EB4">
      <w:r>
        <w:continuationSeparator/>
      </w:r>
    </w:p>
  </w:endnote>
  <w:endnote w:type="continuationNotice" w:id="1">
    <w:p w14:paraId="6BBFED81" w14:textId="77777777" w:rsidR="00297EB4" w:rsidRDefault="00297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TKaiti">
    <w:panose1 w:val="02010600040101010101"/>
    <w:charset w:val="86"/>
    <w:family w:val="auto"/>
    <w:pitch w:val="variable"/>
    <w:sig w:usb0="00000287" w:usb1="080F0000" w:usb2="00000010" w:usb3="00000000" w:csb0="000400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AAD41" w14:textId="77777777" w:rsidR="00297EB4" w:rsidRDefault="00297EB4">
      <w:r>
        <w:separator/>
      </w:r>
    </w:p>
  </w:footnote>
  <w:footnote w:type="continuationSeparator" w:id="0">
    <w:p w14:paraId="1BEFB1EE" w14:textId="77777777" w:rsidR="00297EB4" w:rsidRDefault="00297EB4">
      <w:r>
        <w:continuationSeparator/>
      </w:r>
    </w:p>
  </w:footnote>
  <w:footnote w:type="continuationNotice" w:id="1">
    <w:p w14:paraId="20244BB2" w14:textId="77777777" w:rsidR="00297EB4" w:rsidRDefault="00297E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0"/>
  </w:num>
  <w:num w:numId="4">
    <w:abstractNumId w:val="29"/>
  </w:num>
  <w:num w:numId="5">
    <w:abstractNumId w:val="31"/>
  </w:num>
  <w:num w:numId="6">
    <w:abstractNumId w:val="34"/>
  </w:num>
  <w:num w:numId="7">
    <w:abstractNumId w:val="9"/>
  </w:num>
  <w:num w:numId="8">
    <w:abstractNumId w:val="11"/>
  </w:num>
  <w:num w:numId="9">
    <w:abstractNumId w:val="4"/>
  </w:num>
  <w:num w:numId="10">
    <w:abstractNumId w:val="43"/>
  </w:num>
  <w:num w:numId="11">
    <w:abstractNumId w:val="16"/>
  </w:num>
  <w:num w:numId="12">
    <w:abstractNumId w:val="41"/>
  </w:num>
  <w:num w:numId="13">
    <w:abstractNumId w:val="13"/>
  </w:num>
  <w:num w:numId="14">
    <w:abstractNumId w:val="35"/>
  </w:num>
  <w:num w:numId="15">
    <w:abstractNumId w:val="17"/>
  </w:num>
  <w:num w:numId="16">
    <w:abstractNumId w:val="24"/>
  </w:num>
  <w:num w:numId="17">
    <w:abstractNumId w:val="12"/>
  </w:num>
  <w:num w:numId="18">
    <w:abstractNumId w:val="8"/>
  </w:num>
  <w:num w:numId="19">
    <w:abstractNumId w:val="7"/>
  </w:num>
  <w:num w:numId="20">
    <w:abstractNumId w:val="10"/>
  </w:num>
  <w:num w:numId="21">
    <w:abstractNumId w:val="2"/>
  </w:num>
  <w:num w:numId="22">
    <w:abstractNumId w:val="38"/>
  </w:num>
  <w:num w:numId="23">
    <w:abstractNumId w:val="18"/>
  </w:num>
  <w:num w:numId="24">
    <w:abstractNumId w:val="3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2"/>
  </w:num>
  <w:num w:numId="28">
    <w:abstractNumId w:val="28"/>
  </w:num>
  <w:num w:numId="29">
    <w:abstractNumId w:val="40"/>
  </w:num>
  <w:num w:numId="30">
    <w:abstractNumId w:val="32"/>
  </w:num>
  <w:num w:numId="31">
    <w:abstractNumId w:val="44"/>
  </w:num>
  <w:num w:numId="32">
    <w:abstractNumId w:val="25"/>
  </w:num>
  <w:num w:numId="33">
    <w:abstractNumId w:val="5"/>
  </w:num>
  <w:num w:numId="34">
    <w:abstractNumId w:val="3"/>
  </w:num>
  <w:num w:numId="35">
    <w:abstractNumId w:val="23"/>
  </w:num>
  <w:num w:numId="36">
    <w:abstractNumId w:val="30"/>
  </w:num>
  <w:num w:numId="37">
    <w:abstractNumId w:val="14"/>
  </w:num>
  <w:num w:numId="38">
    <w:abstractNumId w:val="37"/>
  </w:num>
  <w:num w:numId="39">
    <w:abstractNumId w:val="27"/>
  </w:num>
  <w:num w:numId="40">
    <w:abstractNumId w:val="39"/>
  </w:num>
  <w:num w:numId="41">
    <w:abstractNumId w:val="15"/>
  </w:num>
  <w:num w:numId="42">
    <w:abstractNumId w:val="33"/>
  </w:num>
  <w:num w:numId="43">
    <w:abstractNumId w:val="21"/>
  </w:num>
  <w:num w:numId="44">
    <w:abstractNumId w:val="1"/>
  </w:num>
  <w:num w:numId="4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FD6"/>
    <w:rPr>
      <w:rFonts w:ascii="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35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FD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STKaiti" w:eastAsia="STKaiti" w:hAnsi="STKaiti"/>
      <w:u w:color="EEECE1"/>
    </w:rPr>
  </w:style>
  <w:style w:type="character" w:customStyle="1" w:styleId="Char">
    <w:name w:val="交底书 Char"/>
    <w:basedOn w:val="DefaultParagraphFont"/>
    <w:link w:val="a"/>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14994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2020-05-26T03:31:00Z</dcterms:created>
  <dcterms:modified xsi:type="dcterms:W3CDTF">2020-05-26T04:46:00Z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